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EE" w:rsidRPr="006029E1" w:rsidRDefault="001B1EEE" w:rsidP="001B1EEE">
      <w:pPr>
        <w:jc w:val="center"/>
        <w:rPr>
          <w:b/>
          <w:sz w:val="24"/>
          <w:szCs w:val="24"/>
        </w:rPr>
      </w:pPr>
      <w:r>
        <w:rPr>
          <w:b/>
          <w:sz w:val="24"/>
          <w:szCs w:val="24"/>
        </w:rPr>
        <w:br/>
      </w:r>
      <w:r w:rsidRPr="006029E1">
        <w:rPr>
          <w:b/>
          <w:sz w:val="24"/>
          <w:szCs w:val="24"/>
        </w:rPr>
        <w:t>Guidelines for CCOI Review of</w:t>
      </w:r>
    </w:p>
    <w:p w:rsidR="001B1EEE" w:rsidRPr="006029E1" w:rsidRDefault="00313FE1" w:rsidP="001B1EEE">
      <w:pPr>
        <w:jc w:val="center"/>
        <w:rPr>
          <w:b/>
          <w:sz w:val="24"/>
          <w:szCs w:val="24"/>
        </w:rPr>
      </w:pPr>
      <w:r>
        <w:rPr>
          <w:b/>
          <w:sz w:val="24"/>
          <w:szCs w:val="24"/>
        </w:rPr>
        <w:t>Proposals to S</w:t>
      </w:r>
      <w:r w:rsidR="001B1EEE" w:rsidRPr="006029E1">
        <w:rPr>
          <w:b/>
          <w:sz w:val="24"/>
          <w:szCs w:val="24"/>
        </w:rPr>
        <w:t xml:space="preserve">erve </w:t>
      </w:r>
      <w:r>
        <w:rPr>
          <w:b/>
          <w:sz w:val="24"/>
          <w:szCs w:val="24"/>
        </w:rPr>
        <w:t>in a Fiduciary C</w:t>
      </w:r>
      <w:r w:rsidR="00712C99">
        <w:rPr>
          <w:b/>
          <w:sz w:val="24"/>
          <w:szCs w:val="24"/>
        </w:rPr>
        <w:t>apacity</w:t>
      </w:r>
    </w:p>
    <w:p w:rsidR="001B1EEE" w:rsidRDefault="001B1EEE" w:rsidP="001B1EEE">
      <w:pPr>
        <w:jc w:val="center"/>
        <w:rPr>
          <w:b/>
        </w:rPr>
      </w:pPr>
    </w:p>
    <w:p w:rsidR="001B1EEE" w:rsidRDefault="001B1EEE" w:rsidP="001B1EEE"/>
    <w:p w:rsidR="001B1EEE" w:rsidRDefault="001B1EEE" w:rsidP="001B1EEE"/>
    <w:p w:rsidR="001B1EEE" w:rsidRDefault="001B1EEE" w:rsidP="001B1EEE">
      <w:pPr>
        <w:rPr>
          <w:b/>
          <w:bCs/>
          <w:u w:val="single"/>
        </w:rPr>
      </w:pPr>
      <w:r>
        <w:rPr>
          <w:b/>
          <w:bCs/>
          <w:u w:val="single"/>
        </w:rPr>
        <w:t>Introduction</w:t>
      </w:r>
    </w:p>
    <w:p w:rsidR="001B1EEE" w:rsidRDefault="001B1EEE" w:rsidP="001B1EEE">
      <w:pPr>
        <w:rPr>
          <w:b/>
          <w:bCs/>
        </w:rPr>
      </w:pPr>
    </w:p>
    <w:p w:rsidR="001B1EEE" w:rsidRDefault="001B1EEE" w:rsidP="001B1EEE">
      <w:pPr>
        <w:rPr>
          <w:bCs/>
        </w:rPr>
      </w:pPr>
      <w:r>
        <w:rPr>
          <w:bCs/>
        </w:rPr>
        <w:t xml:space="preserve">The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Medicine</w:t>
          </w:r>
        </w:smartTag>
      </w:smartTag>
      <w:r>
        <w:rPr>
          <w:bCs/>
        </w:rPr>
        <w:t>’s policy on conflict of interest and conflict of commitment states:</w:t>
      </w:r>
    </w:p>
    <w:p w:rsidR="001B1EEE" w:rsidRDefault="001B1EEE" w:rsidP="001B1EEE">
      <w:pPr>
        <w:rPr>
          <w:bCs/>
        </w:rPr>
      </w:pPr>
    </w:p>
    <w:p w:rsidR="001B1EEE" w:rsidRDefault="001B1EEE" w:rsidP="001B1EEE">
      <w:pPr>
        <w:ind w:left="720"/>
        <w:rPr>
          <w:bCs/>
          <w:i/>
        </w:rPr>
      </w:pPr>
      <w:r>
        <w:rPr>
          <w:bCs/>
          <w:i/>
        </w:rPr>
        <w:t xml:space="preserve">Full-time faculty members of The </w:t>
      </w:r>
      <w:smartTag w:uri="urn:schemas-microsoft-com:office:smarttags" w:element="PlaceName">
        <w:r>
          <w:rPr>
            <w:bCs/>
            <w:i/>
          </w:rPr>
          <w:t>Johns</w:t>
        </w:r>
      </w:smartTag>
      <w:r>
        <w:rPr>
          <w:bCs/>
          <w:i/>
        </w:rPr>
        <w:t xml:space="preserve"> </w:t>
      </w:r>
      <w:smartTag w:uri="urn:schemas-microsoft-com:office:smarttags" w:element="PlaceName">
        <w:r>
          <w:rPr>
            <w:bCs/>
            <w:i/>
          </w:rPr>
          <w:t>Hopkins</w:t>
        </w:r>
      </w:smartTag>
      <w:r>
        <w:rPr>
          <w:bCs/>
          <w:i/>
        </w:rPr>
        <w:t xml:space="preserve"> </w:t>
      </w:r>
      <w:smartTag w:uri="urn:schemas-microsoft-com:office:smarttags" w:element="PlaceType">
        <w:r>
          <w:rPr>
            <w:bCs/>
            <w:i/>
          </w:rPr>
          <w:t>University</w:t>
        </w:r>
      </w:smartTag>
      <w:r>
        <w:rPr>
          <w:bCs/>
          <w:i/>
        </w:rPr>
        <w:t xml:space="preserve"> </w:t>
      </w:r>
      <w:smartTag w:uri="urn:schemas-microsoft-com:office:smarttags" w:element="PlaceType">
        <w:r>
          <w:rPr>
            <w:bCs/>
            <w:i/>
          </w:rPr>
          <w:t>School</w:t>
        </w:r>
      </w:smartTag>
      <w:r>
        <w:rPr>
          <w:bCs/>
          <w:i/>
        </w:rPr>
        <w:t xml:space="preserve"> of Medicine recognize that their primary responsibility is to The </w:t>
      </w:r>
      <w:smartTag w:uri="urn:schemas-microsoft-com:office:smarttags" w:element="place">
        <w:smartTag w:uri="urn:schemas-microsoft-com:office:smarttags" w:element="PlaceName">
          <w:r>
            <w:rPr>
              <w:bCs/>
              <w:i/>
            </w:rPr>
            <w:t>Johns</w:t>
          </w:r>
        </w:smartTag>
        <w:r>
          <w:rPr>
            <w:bCs/>
            <w:i/>
          </w:rPr>
          <w:t xml:space="preserve"> </w:t>
        </w:r>
        <w:smartTag w:uri="urn:schemas-microsoft-com:office:smarttags" w:element="PlaceName">
          <w:r>
            <w:rPr>
              <w:bCs/>
              <w:i/>
            </w:rPr>
            <w:t>Hopkins</w:t>
          </w:r>
        </w:smartTag>
        <w:r>
          <w:rPr>
            <w:bCs/>
            <w:i/>
          </w:rPr>
          <w:t xml:space="preserve"> </w:t>
        </w:r>
        <w:smartTag w:uri="urn:schemas-microsoft-com:office:smarttags" w:element="PlaceType">
          <w:r>
            <w:rPr>
              <w:bCs/>
              <w:i/>
            </w:rPr>
            <w:t>University</w:t>
          </w:r>
        </w:smartTag>
      </w:smartTag>
      <w:r>
        <w:rPr>
          <w:bCs/>
          <w:i/>
        </w:rPr>
        <w:t>.  To fulfill that responsibility, they are expected to devote their energies to activities that further the academic objective of the Institution.</w:t>
      </w:r>
    </w:p>
    <w:p w:rsidR="001B1EEE" w:rsidRDefault="001B1EEE" w:rsidP="001B1EEE">
      <w:pPr>
        <w:rPr>
          <w:bCs/>
        </w:rPr>
      </w:pPr>
    </w:p>
    <w:p w:rsidR="001B1EEE" w:rsidRDefault="001B1EEE" w:rsidP="001B1EEE">
      <w:r>
        <w:rPr>
          <w:bCs/>
        </w:rPr>
        <w:t>Acceptance of a full-time appointment entails a commitment to assign first priority to the objectives of the University and to strive for safety, objectivity, and independence in the conduct of research and scholarship, clinical care, and teaching.  At the same time, participation by faculty members in activities of government, professional associations, industry, and other private institutions may serve the academic interests of the Institution and promote the dissemination of knowledge generated at the University.</w:t>
      </w:r>
      <w:r>
        <w:t xml:space="preserve">  Yet these interactions must not compromise or appear to compromise a faculty member’s primary responsibility to the core missions of the Institution.</w:t>
      </w:r>
    </w:p>
    <w:p w:rsidR="001B1EEE" w:rsidRDefault="001B1EEE" w:rsidP="001B1EEE"/>
    <w:p w:rsidR="001B1EEE" w:rsidRDefault="001B1EEE" w:rsidP="001B1EEE">
      <w:r>
        <w:t xml:space="preserve">An ad hoc committee, formed to develop guidelines for use by the Committee on </w:t>
      </w:r>
      <w:r w:rsidR="007D2EB1">
        <w:t xml:space="preserve">Outside </w:t>
      </w:r>
      <w:r>
        <w:t>Interest</w:t>
      </w:r>
      <w:r w:rsidR="007D2EB1">
        <w:t>s</w:t>
      </w:r>
      <w:r>
        <w:t xml:space="preserve">, through a series of meetings and research, concluded that </w:t>
      </w:r>
      <w:r w:rsidR="007D2EB1">
        <w:t>a fiduciary role in</w:t>
      </w:r>
      <w:r>
        <w:t xml:space="preserve"> an outside company by any covered party</w:t>
      </w:r>
      <w:r>
        <w:rPr>
          <w:rStyle w:val="FootnoteReference"/>
          <w:b/>
          <w:bCs/>
        </w:rPr>
        <w:footnoteReference w:id="1"/>
      </w:r>
      <w:r>
        <w:t xml:space="preserve">  may be beneficial to both parties.  The covered party may gain valuable insight into corporate decisions that affect the development of potentially useful medical and scientific products; the company may benefit from the expertise of the covered party.   Nevertheless, there is potential for </w:t>
      </w:r>
      <w:r w:rsidR="007D2EB1">
        <w:t>fiduciary roles</w:t>
      </w:r>
      <w:r>
        <w:t xml:space="preserve"> to generate conflicts of commitment and conflicts of interest.  Conflict of commitment, e.g., the time devoted to outside activity, is a matter for review and management by the department director.  Conflicts of interest are addressed by the Committee on </w:t>
      </w:r>
      <w:r w:rsidR="007D2EB1">
        <w:t>Outside</w:t>
      </w:r>
      <w:r>
        <w:t xml:space="preserve"> Interest</w:t>
      </w:r>
      <w:r w:rsidR="007D2EB1">
        <w:t>s</w:t>
      </w:r>
      <w:r>
        <w:t xml:space="preserve"> (COI).</w:t>
      </w:r>
    </w:p>
    <w:p w:rsidR="001B1EEE" w:rsidRDefault="001B1EEE" w:rsidP="001B1EEE"/>
    <w:p w:rsidR="00030ADF" w:rsidRDefault="001B1EEE" w:rsidP="001B1EEE">
      <w:r>
        <w:t xml:space="preserve">The School of Medicine’s conflict of interest (COI) policy requires that any covered party proposing to assume a management position, board of directors seat, or other fiduciary role in any organization (non-profit or for profit) submit that proposal to the COI for review in advance of accepting such a position. The existing COI policy presumptively prohibits </w:t>
      </w:r>
      <w:r w:rsidR="008F7B84">
        <w:lastRenderedPageBreak/>
        <w:t>fiduciary roles</w:t>
      </w:r>
      <w:r>
        <w:t xml:space="preserve"> when the covered party is concurrently conducting related human research and provides mechanisms and criteria for exceptions to the policy.  </w:t>
      </w:r>
      <w:r w:rsidR="00C055A8">
        <w:t xml:space="preserve">The COI considers distinctions between Board of Directors services and officer roles when making their determinations. </w:t>
      </w:r>
    </w:p>
    <w:p w:rsidR="00030ADF" w:rsidRDefault="00030ADF" w:rsidP="001B1EEE"/>
    <w:p w:rsidR="00030ADF" w:rsidRDefault="00030ADF" w:rsidP="00030ADF">
      <w:r>
        <w:t xml:space="preserve">For purposes of these guidelines, in particular items 7-9 under the Guidelines for Review, a </w:t>
      </w:r>
      <w:r>
        <w:rPr>
          <w:i/>
        </w:rPr>
        <w:t>start-up</w:t>
      </w:r>
      <w:r>
        <w:t xml:space="preserve"> is a company established for the purpose of developing a technology or service or a closely related group of technologies of services.  A </w:t>
      </w:r>
      <w:r>
        <w:rPr>
          <w:i/>
        </w:rPr>
        <w:t>faculty start-up</w:t>
      </w:r>
      <w:r>
        <w:t xml:space="preserve"> is one in which the covered party is a founder and receives equity or remuneration in addition to shares of licensing proceeds (fees, equity, royalty), if any, distributed to inventors by the University.  A </w:t>
      </w:r>
      <w:r>
        <w:rPr>
          <w:i/>
        </w:rPr>
        <w:t>non-faculty start-up</w:t>
      </w:r>
      <w:r>
        <w:t xml:space="preserve"> is one in which the covered party is not a founder and his/her sole role and interest are service on the board and direct remuneration for such service. </w:t>
      </w:r>
    </w:p>
    <w:p w:rsidR="00030ADF" w:rsidRDefault="00030ADF" w:rsidP="00030ADF"/>
    <w:p w:rsidR="00030ADF" w:rsidRDefault="00030ADF" w:rsidP="00030ADF">
      <w:r>
        <w:t>Because the value of a start-up company generally depends on the results of research or testing of its core product(s), its success is closely tied to that research and the value of its equity may be very volatile.  The directors’ legal exposure may be greater than in an established or publicly-traded company.   For these reasons, start-ups involve more risk than established companies.</w:t>
      </w:r>
    </w:p>
    <w:p w:rsidR="00030ADF" w:rsidRDefault="00030ADF" w:rsidP="001B1EEE"/>
    <w:p w:rsidR="001B1EEE" w:rsidRDefault="001B1EEE" w:rsidP="001B1EEE">
      <w:r>
        <w:t xml:space="preserve">The </w:t>
      </w:r>
      <w:r w:rsidR="00C055A8">
        <w:t xml:space="preserve">following </w:t>
      </w:r>
      <w:r>
        <w:t xml:space="preserve">guidelines are designed to assist the COI in evaluating the proposed </w:t>
      </w:r>
      <w:r w:rsidR="008F7B84">
        <w:t>fiduciary role</w:t>
      </w:r>
      <w:r>
        <w:t xml:space="preserve"> beyond the existing COI policy.</w:t>
      </w:r>
    </w:p>
    <w:p w:rsidR="001B1EEE" w:rsidRDefault="001B1EEE" w:rsidP="001B1EEE"/>
    <w:p w:rsidR="001B1EEE" w:rsidRDefault="001B1EEE" w:rsidP="001B1EEE">
      <w:pPr>
        <w:rPr>
          <w:b/>
          <w:u w:val="single"/>
        </w:rPr>
      </w:pPr>
      <w:r>
        <w:rPr>
          <w:b/>
          <w:u w:val="single"/>
        </w:rPr>
        <w:t>Guidelines for Review</w:t>
      </w:r>
    </w:p>
    <w:p w:rsidR="001B1EEE" w:rsidRDefault="001B1EEE" w:rsidP="001B1EEE">
      <w:pPr>
        <w:rPr>
          <w:b/>
        </w:rPr>
      </w:pPr>
    </w:p>
    <w:p w:rsidR="001B1EEE" w:rsidRDefault="00C055A8" w:rsidP="001B1EEE">
      <w:r>
        <w:t>Fiduciary roles</w:t>
      </w:r>
      <w:r w:rsidR="001B1EEE">
        <w:t xml:space="preserve"> may be permitted after COI review in cases where COI judges the risks to be both acceptable and manageable and the Dean concurs.  In determining the level of risk and whether it is acceptable, COI will consider a number of factors, including those outlined below.</w:t>
      </w:r>
    </w:p>
    <w:p w:rsidR="001B1EEE" w:rsidRDefault="001B1EEE" w:rsidP="001B1EEE">
      <w:r>
        <w:t xml:space="preserve">  </w:t>
      </w:r>
    </w:p>
    <w:p w:rsidR="001B1EEE" w:rsidRDefault="00030ADF" w:rsidP="001B1EEE">
      <w:r>
        <w:rPr>
          <w:b/>
        </w:rPr>
        <w:t>A fiduciary role</w:t>
      </w:r>
      <w:r w:rsidR="001B1EEE">
        <w:rPr>
          <w:b/>
        </w:rPr>
        <w:t xml:space="preserve"> may be permitted in the following situations, </w:t>
      </w:r>
      <w:r w:rsidR="001B1EEE" w:rsidRPr="00A41F20">
        <w:rPr>
          <w:b/>
        </w:rPr>
        <w:t>listed in increasing order of risk to the Institution</w:t>
      </w:r>
      <w:r w:rsidR="001B1EEE">
        <w:rPr>
          <w:b/>
        </w:rPr>
        <w:t xml:space="preserve"> and to the covered party’s academic duties:</w:t>
      </w:r>
    </w:p>
    <w:p w:rsidR="001B1EEE" w:rsidRDefault="001B1EEE" w:rsidP="001B1EEE"/>
    <w:p w:rsidR="001B1EEE" w:rsidRPr="006029E1" w:rsidRDefault="001B1EEE" w:rsidP="001B1EEE">
      <w:pPr>
        <w:numPr>
          <w:ilvl w:val="0"/>
          <w:numId w:val="31"/>
        </w:numPr>
      </w:pPr>
      <w:r w:rsidRPr="006029E1">
        <w:rPr>
          <w:b/>
        </w:rPr>
        <w:t>Company is publicly traded</w:t>
      </w:r>
      <w:bookmarkStart w:id="0" w:name="OLE_LINK1"/>
      <w:bookmarkStart w:id="1" w:name="OLE_LINK2"/>
    </w:p>
    <w:p w:rsidR="001B1EEE" w:rsidRDefault="001B1EEE" w:rsidP="001B1EEE">
      <w:pPr>
        <w:numPr>
          <w:ilvl w:val="0"/>
          <w:numId w:val="32"/>
        </w:numPr>
      </w:pPr>
      <w:r>
        <w:t>No research sponsored by the company, involving the company’s product, or “in the field</w:t>
      </w:r>
      <w:r w:rsidR="00355545">
        <w:t>”</w:t>
      </w:r>
      <w:r>
        <w:rPr>
          <w:rStyle w:val="FootnoteReference"/>
        </w:rPr>
        <w:footnoteReference w:id="2"/>
      </w:r>
      <w:bookmarkEnd w:id="0"/>
      <w:bookmarkEnd w:id="1"/>
      <w:r>
        <w:t xml:space="preserve"> on the part of the covered party or subordinate</w:t>
      </w:r>
      <w:r>
        <w:rPr>
          <w:rStyle w:val="FootnoteReference"/>
        </w:rPr>
        <w:footnoteReference w:id="3"/>
      </w:r>
      <w:r>
        <w:br/>
      </w:r>
    </w:p>
    <w:p w:rsidR="001B1EEE" w:rsidRPr="006029E1" w:rsidRDefault="001B1EEE" w:rsidP="001B1EEE">
      <w:pPr>
        <w:numPr>
          <w:ilvl w:val="0"/>
          <w:numId w:val="31"/>
        </w:numPr>
        <w:rPr>
          <w:b/>
        </w:rPr>
      </w:pPr>
      <w:r w:rsidRPr="006029E1">
        <w:rPr>
          <w:b/>
        </w:rPr>
        <w:t>Non faculty start-up company not based on JHU technology</w:t>
      </w:r>
    </w:p>
    <w:p w:rsidR="001B1EEE" w:rsidRDefault="001B1EEE" w:rsidP="001B1EEE">
      <w:pPr>
        <w:numPr>
          <w:ilvl w:val="0"/>
          <w:numId w:val="32"/>
        </w:numPr>
      </w:pPr>
      <w:r>
        <w:lastRenderedPageBreak/>
        <w:t>No research sponsored by the company, involving the company’s product, or “in the field” on the part of the covered party or subordinate</w:t>
      </w:r>
      <w:r>
        <w:br/>
      </w:r>
    </w:p>
    <w:p w:rsidR="001B1EEE" w:rsidRDefault="001B1EEE" w:rsidP="001B1EEE">
      <w:pPr>
        <w:numPr>
          <w:ilvl w:val="0"/>
          <w:numId w:val="31"/>
        </w:numPr>
        <w:rPr>
          <w:b/>
        </w:rPr>
      </w:pPr>
      <w:r w:rsidRPr="006029E1">
        <w:rPr>
          <w:b/>
        </w:rPr>
        <w:t>Company is publicly traded</w:t>
      </w:r>
    </w:p>
    <w:p w:rsidR="001B1EEE" w:rsidRDefault="001B1EEE" w:rsidP="001B1EEE">
      <w:pPr>
        <w:numPr>
          <w:ilvl w:val="0"/>
          <w:numId w:val="32"/>
        </w:numPr>
      </w:pPr>
      <w:r>
        <w:t>Research in the field, but no research sponsored by the company or involving its products, on the part of the covered party or subordinate</w:t>
      </w:r>
    </w:p>
    <w:p w:rsidR="001B1EEE" w:rsidRDefault="001B1EEE" w:rsidP="001B1EEE">
      <w:pPr>
        <w:rPr>
          <w:b/>
        </w:rPr>
      </w:pPr>
    </w:p>
    <w:p w:rsidR="001B1EEE" w:rsidRPr="006029E1" w:rsidRDefault="001B1EEE" w:rsidP="001B1EEE">
      <w:pPr>
        <w:numPr>
          <w:ilvl w:val="0"/>
          <w:numId w:val="31"/>
        </w:numPr>
      </w:pPr>
      <w:r w:rsidRPr="006029E1">
        <w:rPr>
          <w:b/>
        </w:rPr>
        <w:t xml:space="preserve">Company is privately held; not a start-up </w:t>
      </w:r>
    </w:p>
    <w:p w:rsidR="001B1EEE" w:rsidRDefault="001B1EEE" w:rsidP="001B1EEE">
      <w:pPr>
        <w:numPr>
          <w:ilvl w:val="0"/>
          <w:numId w:val="32"/>
        </w:numPr>
      </w:pPr>
      <w:r>
        <w:t>No research sponsored by the company, involving the company’s product, or in the field on the part of the covered party or subordinate</w:t>
      </w:r>
      <w:r>
        <w:br/>
      </w:r>
    </w:p>
    <w:p w:rsidR="001B1EEE" w:rsidRPr="006029E1" w:rsidRDefault="001B1EEE" w:rsidP="001B1EEE">
      <w:pPr>
        <w:numPr>
          <w:ilvl w:val="0"/>
          <w:numId w:val="31"/>
        </w:numPr>
      </w:pPr>
      <w:r>
        <w:rPr>
          <w:b/>
        </w:rPr>
        <w:t>Company is publicly traded</w:t>
      </w:r>
    </w:p>
    <w:p w:rsidR="001B1EEE" w:rsidRDefault="001B1EEE" w:rsidP="00355545">
      <w:pPr>
        <w:numPr>
          <w:ilvl w:val="0"/>
          <w:numId w:val="32"/>
        </w:numPr>
      </w:pPr>
      <w:r w:rsidRPr="00DF2F98">
        <w:t>Research sponsored by the company or involving its products on the part of t</w:t>
      </w:r>
      <w:r w:rsidR="00355545">
        <w:t>he covered party or subordinate</w:t>
      </w:r>
    </w:p>
    <w:p w:rsidR="001B1EEE" w:rsidRDefault="001B1EEE" w:rsidP="00030ADF">
      <w:pPr>
        <w:rPr>
          <w:b/>
        </w:rPr>
      </w:pPr>
    </w:p>
    <w:p w:rsidR="001B1EEE" w:rsidRDefault="001B1EEE" w:rsidP="001B1EEE">
      <w:pPr>
        <w:numPr>
          <w:ilvl w:val="0"/>
          <w:numId w:val="31"/>
        </w:numPr>
      </w:pPr>
      <w:r w:rsidRPr="006029E1">
        <w:rPr>
          <w:b/>
        </w:rPr>
        <w:t>Non</w:t>
      </w:r>
      <w:r w:rsidR="0009262E">
        <w:rPr>
          <w:b/>
        </w:rPr>
        <w:t>-</w:t>
      </w:r>
      <w:r w:rsidRPr="006029E1">
        <w:rPr>
          <w:b/>
        </w:rPr>
        <w:t>faculty start-up company based on JHU technology</w:t>
      </w:r>
      <w:r>
        <w:t xml:space="preserve"> (</w:t>
      </w:r>
      <w:r>
        <w:rPr>
          <w:i/>
        </w:rPr>
        <w:t>for example, i</w:t>
      </w:r>
      <w:r w:rsidR="000C52D5">
        <w:rPr>
          <w:i/>
        </w:rPr>
        <w:t>.</w:t>
      </w:r>
      <w:r>
        <w:rPr>
          <w:i/>
        </w:rPr>
        <w:t xml:space="preserve"> company has licensed JHU technology from JHU, or ii</w:t>
      </w:r>
      <w:r w:rsidR="000C52D5">
        <w:rPr>
          <w:i/>
        </w:rPr>
        <w:t>.</w:t>
      </w:r>
      <w:r>
        <w:rPr>
          <w:i/>
        </w:rPr>
        <w:t xml:space="preserve"> an invention, waived back to inventor, is licensed or assigned to the start-up by the inventor</w:t>
      </w:r>
      <w:r>
        <w:t>)</w:t>
      </w:r>
    </w:p>
    <w:p w:rsidR="00461F6A" w:rsidRDefault="001B1EEE" w:rsidP="00461F6A">
      <w:pPr>
        <w:numPr>
          <w:ilvl w:val="0"/>
          <w:numId w:val="32"/>
        </w:numPr>
        <w:rPr>
          <w:b/>
        </w:rPr>
      </w:pPr>
      <w:r>
        <w:t>No research sponsored by the company, involving the company’s product, or “in the field” on the part of the covered party or subordinate</w:t>
      </w:r>
      <w:r>
        <w:rPr>
          <w:b/>
        </w:rPr>
        <w:t xml:space="preserve"> </w:t>
      </w:r>
    </w:p>
    <w:p w:rsidR="00355545" w:rsidRDefault="00355545" w:rsidP="00355545">
      <w:pPr>
        <w:rPr>
          <w:b/>
        </w:rPr>
      </w:pPr>
    </w:p>
    <w:p w:rsidR="00461F6A" w:rsidRPr="00461F6A" w:rsidRDefault="00461F6A" w:rsidP="00461F6A">
      <w:pPr>
        <w:rPr>
          <w:b/>
        </w:rPr>
      </w:pPr>
      <w:r w:rsidRPr="00461F6A">
        <w:rPr>
          <w:b/>
        </w:rPr>
        <w:t>Approval generally will not be granted in the following situations:</w:t>
      </w:r>
    </w:p>
    <w:p w:rsidR="00461F6A" w:rsidRDefault="00461F6A" w:rsidP="00461F6A">
      <w:pPr>
        <w:ind w:left="792"/>
        <w:rPr>
          <w:b/>
        </w:rPr>
      </w:pPr>
    </w:p>
    <w:p w:rsidR="00355545" w:rsidRDefault="00461F6A" w:rsidP="00355545">
      <w:pPr>
        <w:numPr>
          <w:ilvl w:val="0"/>
          <w:numId w:val="31"/>
        </w:numPr>
        <w:rPr>
          <w:b/>
        </w:rPr>
      </w:pPr>
      <w:r w:rsidRPr="006029E1">
        <w:rPr>
          <w:b/>
        </w:rPr>
        <w:t>Company is privately held; not a start-up</w:t>
      </w:r>
    </w:p>
    <w:p w:rsidR="00461F6A" w:rsidRPr="00355545" w:rsidRDefault="00461F6A" w:rsidP="00355545">
      <w:pPr>
        <w:pStyle w:val="ListParagraph"/>
        <w:numPr>
          <w:ilvl w:val="0"/>
          <w:numId w:val="34"/>
        </w:numPr>
        <w:rPr>
          <w:b/>
        </w:rPr>
      </w:pPr>
      <w:r>
        <w:t>Research sponsored by the company, involving the company’s product, or in the field on the part of the covered party or subordinate</w:t>
      </w:r>
      <w:r w:rsidRPr="00DF2F98">
        <w:t xml:space="preserve"> </w:t>
      </w:r>
    </w:p>
    <w:p w:rsidR="001B1EEE" w:rsidRDefault="001B1EEE" w:rsidP="001B1EEE"/>
    <w:p w:rsidR="001B1EEE" w:rsidRPr="006029E1" w:rsidRDefault="001B1EEE" w:rsidP="001B1EEE">
      <w:pPr>
        <w:numPr>
          <w:ilvl w:val="0"/>
          <w:numId w:val="31"/>
        </w:numPr>
        <w:rPr>
          <w:b/>
        </w:rPr>
      </w:pPr>
      <w:r w:rsidRPr="006029E1">
        <w:rPr>
          <w:b/>
        </w:rPr>
        <w:t xml:space="preserve">Faculty start-up company not based on </w:t>
      </w:r>
      <w:r w:rsidR="0009262E">
        <w:rPr>
          <w:b/>
        </w:rPr>
        <w:t>faculty member’s licensed technology</w:t>
      </w:r>
    </w:p>
    <w:p w:rsidR="001B1EEE" w:rsidRDefault="001B1EEE" w:rsidP="001B1EEE">
      <w:pPr>
        <w:numPr>
          <w:ilvl w:val="0"/>
          <w:numId w:val="32"/>
        </w:numPr>
      </w:pPr>
      <w:r>
        <w:t xml:space="preserve">Sponsored, directly related research, or research “in the field” on the part of covered party or subordinate </w:t>
      </w:r>
    </w:p>
    <w:p w:rsidR="001B1EEE" w:rsidRDefault="001B1EEE" w:rsidP="001B1EEE"/>
    <w:p w:rsidR="001B1EEE" w:rsidRDefault="001B1EEE" w:rsidP="001B1EEE">
      <w:pPr>
        <w:numPr>
          <w:ilvl w:val="0"/>
          <w:numId w:val="31"/>
        </w:numPr>
      </w:pPr>
      <w:r w:rsidRPr="006029E1">
        <w:rPr>
          <w:b/>
        </w:rPr>
        <w:t>Faculty start-up company based on JHU technology</w:t>
      </w:r>
      <w:r>
        <w:t xml:space="preserve"> (</w:t>
      </w:r>
      <w:r>
        <w:rPr>
          <w:i/>
        </w:rPr>
        <w:t>for example, i</w:t>
      </w:r>
      <w:r w:rsidR="000C52D5">
        <w:rPr>
          <w:i/>
        </w:rPr>
        <w:t>.</w:t>
      </w:r>
      <w:r>
        <w:rPr>
          <w:i/>
        </w:rPr>
        <w:t xml:space="preserve"> company has licensed JHU technology from JHU, or ii</w:t>
      </w:r>
      <w:r w:rsidR="000C52D5">
        <w:rPr>
          <w:i/>
        </w:rPr>
        <w:t>.</w:t>
      </w:r>
      <w:r>
        <w:rPr>
          <w:i/>
        </w:rPr>
        <w:t xml:space="preserve"> an invention, waived back to inventor, is licensed or assigned to the start-up by the inventor</w:t>
      </w:r>
      <w:r>
        <w:t>)</w:t>
      </w:r>
    </w:p>
    <w:p w:rsidR="001B1EEE" w:rsidRDefault="001B1EEE" w:rsidP="001B1EEE">
      <w:pPr>
        <w:numPr>
          <w:ilvl w:val="0"/>
          <w:numId w:val="32"/>
        </w:numPr>
      </w:pPr>
      <w:r>
        <w:t xml:space="preserve">Research sponsored by the company, involving the company’s product, or “in the field” on the part of covered party or subordinate </w:t>
      </w:r>
    </w:p>
    <w:p w:rsidR="001B1EEE" w:rsidRDefault="001B1EEE" w:rsidP="001B1EEE">
      <w:pPr>
        <w:numPr>
          <w:ilvl w:val="0"/>
          <w:numId w:val="32"/>
        </w:numPr>
      </w:pPr>
      <w:r>
        <w:t>Faculty are advised to consult JHTT</w:t>
      </w:r>
    </w:p>
    <w:p w:rsidR="001B1EEE" w:rsidRPr="00847573" w:rsidRDefault="001B1EEE" w:rsidP="001B1EEE">
      <w:pPr>
        <w:ind w:left="360"/>
        <w:rPr>
          <w:highlight w:val="yellow"/>
        </w:rPr>
      </w:pPr>
    </w:p>
    <w:p w:rsidR="001B1EEE" w:rsidRDefault="001B1EEE" w:rsidP="001B1EEE">
      <w:pPr>
        <w:numPr>
          <w:ilvl w:val="0"/>
          <w:numId w:val="31"/>
        </w:numPr>
        <w:rPr>
          <w:b/>
          <w:bCs/>
        </w:rPr>
      </w:pPr>
      <w:r>
        <w:rPr>
          <w:b/>
          <w:bCs/>
        </w:rPr>
        <w:t>Any “financially interested company”</w:t>
      </w:r>
      <w:r>
        <w:rPr>
          <w:rStyle w:val="FootnoteReference"/>
        </w:rPr>
        <w:footnoteReference w:id="4"/>
      </w:r>
      <w:r>
        <w:rPr>
          <w:b/>
          <w:bCs/>
        </w:rPr>
        <w:t xml:space="preserve"> in cases involving human subject research</w:t>
      </w:r>
    </w:p>
    <w:p w:rsidR="001B1EEE" w:rsidRDefault="001B1EEE" w:rsidP="001B1EEE">
      <w:pPr>
        <w:ind w:left="720"/>
        <w:rPr>
          <w:b/>
          <w:bCs/>
        </w:rPr>
      </w:pPr>
      <w:r>
        <w:lastRenderedPageBreak/>
        <w:t xml:space="preserve">The SOM’s COI policy presumptively prohibits </w:t>
      </w:r>
      <w:r w:rsidR="00461F6A">
        <w:t>fiduciary roles</w:t>
      </w:r>
      <w:r>
        <w:t xml:space="preserve"> when the covered party is conducting human subject research involving a financially interested company.</w:t>
      </w:r>
    </w:p>
    <w:p w:rsidR="001B1EEE" w:rsidRDefault="001B1EEE" w:rsidP="001B1EEE"/>
    <w:p w:rsidR="001B1EEE" w:rsidRDefault="001B1EEE" w:rsidP="001B1EEE">
      <w:pPr>
        <w:rPr>
          <w:i/>
        </w:rPr>
      </w:pPr>
      <w:r>
        <w:t xml:space="preserve">The covered party may request an exception if he/she believes there is a compelling rationale for </w:t>
      </w:r>
      <w:r w:rsidR="00461F6A">
        <w:t>maintaining a fiduciary role in the company.</w:t>
      </w:r>
      <w:r w:rsidR="00461F6A" w:rsidDel="00461F6A">
        <w:t xml:space="preserve"> </w:t>
      </w:r>
      <w:r>
        <w:t xml:space="preserve">If COI accepts the rationale and believes the conflicts can be managed, an exception may be granted.  The COI will recommend a time limit to be placed on the </w:t>
      </w:r>
      <w:r w:rsidR="00461F6A">
        <w:t>fiduciary role</w:t>
      </w:r>
      <w:r>
        <w:t xml:space="preserve"> and may recommend other management.  The covered party’s department director must be fully aware of all the circumstances and must approve of the proposed </w:t>
      </w:r>
      <w:r w:rsidR="00461F6A">
        <w:t>fiduciary role</w:t>
      </w:r>
      <w:r>
        <w:t xml:space="preserve">. </w:t>
      </w:r>
    </w:p>
    <w:p w:rsidR="001B1EEE" w:rsidRDefault="001B1EEE" w:rsidP="001B1EEE">
      <w:pPr>
        <w:ind w:left="360"/>
      </w:pPr>
    </w:p>
    <w:p w:rsidR="001B1EEE" w:rsidRPr="006029E1" w:rsidRDefault="001B1EEE" w:rsidP="001B1EEE">
      <w:pPr>
        <w:rPr>
          <w:b/>
        </w:rPr>
      </w:pPr>
      <w:r w:rsidRPr="006029E1">
        <w:rPr>
          <w:b/>
        </w:rPr>
        <w:t xml:space="preserve">Requests for exceptions </w:t>
      </w:r>
      <w:r w:rsidR="00461F6A">
        <w:rPr>
          <w:b/>
        </w:rPr>
        <w:t>may</w:t>
      </w:r>
      <w:r w:rsidR="00461F6A" w:rsidRPr="006029E1">
        <w:rPr>
          <w:b/>
        </w:rPr>
        <w:t xml:space="preserve"> </w:t>
      </w:r>
      <w:r w:rsidRPr="006029E1">
        <w:rPr>
          <w:b/>
        </w:rPr>
        <w:t>include</w:t>
      </w:r>
    </w:p>
    <w:p w:rsidR="001B1EEE" w:rsidRDefault="001B1EEE" w:rsidP="001B1EEE">
      <w:pPr>
        <w:numPr>
          <w:ilvl w:val="1"/>
          <w:numId w:val="29"/>
        </w:numPr>
        <w:tabs>
          <w:tab w:val="clear" w:pos="1440"/>
          <w:tab w:val="num" w:pos="1080"/>
        </w:tabs>
        <w:ind w:hanging="720"/>
      </w:pPr>
      <w:r>
        <w:t>A summary of the company’s business plan</w:t>
      </w:r>
    </w:p>
    <w:p w:rsidR="001B1EEE" w:rsidRDefault="001B1EEE" w:rsidP="001B1EEE">
      <w:pPr>
        <w:numPr>
          <w:ilvl w:val="1"/>
          <w:numId w:val="29"/>
        </w:numPr>
        <w:tabs>
          <w:tab w:val="clear" w:pos="1440"/>
          <w:tab w:val="num" w:pos="1080"/>
        </w:tabs>
        <w:ind w:left="1080"/>
      </w:pPr>
      <w:r>
        <w:t xml:space="preserve">Specific description of the role of covered party on the BOD </w:t>
      </w:r>
    </w:p>
    <w:p w:rsidR="001B1EEE" w:rsidRDefault="001B1EEE" w:rsidP="001B1EEE">
      <w:pPr>
        <w:numPr>
          <w:ilvl w:val="1"/>
          <w:numId w:val="29"/>
        </w:numPr>
        <w:tabs>
          <w:tab w:val="clear" w:pos="1440"/>
          <w:tab w:val="num" w:pos="1080"/>
        </w:tabs>
        <w:ind w:left="1080"/>
      </w:pPr>
      <w:r>
        <w:t>Proposal for managing conflicts of interest potentially affecting research integrity, use of institutional resources, and students/trainees</w:t>
      </w:r>
    </w:p>
    <w:p w:rsidR="001B1EEE" w:rsidRDefault="001B1EEE" w:rsidP="001B1EEE">
      <w:pPr>
        <w:rPr>
          <w:b/>
        </w:rPr>
      </w:pPr>
    </w:p>
    <w:p w:rsidR="001B1EEE" w:rsidRPr="000120CB" w:rsidRDefault="001B1EEE" w:rsidP="001B1EEE">
      <w:pPr>
        <w:rPr>
          <w:b/>
          <w:u w:val="single"/>
        </w:rPr>
      </w:pPr>
      <w:r w:rsidRPr="000120CB">
        <w:rPr>
          <w:b/>
          <w:u w:val="single"/>
        </w:rPr>
        <w:t>Proposal-related Information</w:t>
      </w:r>
    </w:p>
    <w:p w:rsidR="001B1EEE" w:rsidRDefault="001B1EEE" w:rsidP="001B1EEE"/>
    <w:p w:rsidR="001B1EEE" w:rsidRDefault="001B1EEE" w:rsidP="001B1EEE">
      <w:r>
        <w:t xml:space="preserve">COI will obtain answers to the following questions from covered parties proposing to serve </w:t>
      </w:r>
      <w:r w:rsidR="00461F6A">
        <w:t>in a fiduciary capacity</w:t>
      </w:r>
      <w:r>
        <w:t xml:space="preserve">. </w:t>
      </w:r>
    </w:p>
    <w:p w:rsidR="001B1EEE" w:rsidRDefault="001B1EEE" w:rsidP="001B1EEE">
      <w:pPr>
        <w:tabs>
          <w:tab w:val="left" w:pos="720"/>
        </w:tabs>
        <w:jc w:val="center"/>
      </w:pPr>
    </w:p>
    <w:p w:rsidR="001B1EEE" w:rsidRDefault="001B1EEE" w:rsidP="001B1EEE">
      <w:pPr>
        <w:numPr>
          <w:ilvl w:val="2"/>
          <w:numId w:val="30"/>
        </w:numPr>
        <w:tabs>
          <w:tab w:val="clear" w:pos="2160"/>
          <w:tab w:val="num" w:pos="1080"/>
        </w:tabs>
        <w:ind w:hanging="1440"/>
      </w:pPr>
      <w:r>
        <w:t xml:space="preserve">Why is the covered party being asked to serve </w:t>
      </w:r>
      <w:r w:rsidR="00461F6A">
        <w:t>in a fiduciary capacity</w:t>
      </w:r>
      <w:r>
        <w:t>?</w:t>
      </w:r>
    </w:p>
    <w:p w:rsidR="001B1EEE" w:rsidRDefault="001B1EEE" w:rsidP="001B1EEE">
      <w:pPr>
        <w:numPr>
          <w:ilvl w:val="2"/>
          <w:numId w:val="30"/>
        </w:numPr>
        <w:tabs>
          <w:tab w:val="clear" w:pos="2160"/>
          <w:tab w:val="num" w:pos="1080"/>
        </w:tabs>
        <w:ind w:hanging="1440"/>
      </w:pPr>
      <w:r>
        <w:t>Is there related research?</w:t>
      </w:r>
      <w:r w:rsidR="00461F6A">
        <w:t xml:space="preserve">  Is this research company-sponsored?</w:t>
      </w:r>
    </w:p>
    <w:p w:rsidR="001B1EEE" w:rsidRDefault="001B1EEE" w:rsidP="001B1EEE">
      <w:pPr>
        <w:numPr>
          <w:ilvl w:val="2"/>
          <w:numId w:val="30"/>
        </w:numPr>
        <w:tabs>
          <w:tab w:val="clear" w:pos="2160"/>
          <w:tab w:val="num" w:pos="1080"/>
        </w:tabs>
        <w:autoSpaceDE w:val="0"/>
        <w:autoSpaceDN w:val="0"/>
        <w:adjustRightInd w:val="0"/>
        <w:ind w:left="1080"/>
      </w:pPr>
      <w:r>
        <w:t>Do</w:t>
      </w:r>
      <w:r w:rsidR="00461F6A">
        <w:t>es the covered party</w:t>
      </w:r>
      <w:r w:rsidR="00355545">
        <w:t xml:space="preserve"> </w:t>
      </w:r>
      <w:r>
        <w:t>have purchasing responsibilities for goods or services offered by the company or its competitors?</w:t>
      </w:r>
    </w:p>
    <w:p w:rsidR="001B1EEE" w:rsidRDefault="001B1EEE" w:rsidP="001B1EEE">
      <w:pPr>
        <w:ind w:left="720"/>
      </w:pPr>
    </w:p>
    <w:p w:rsidR="001B1EEE" w:rsidRDefault="001B1EEE" w:rsidP="001B1EEE">
      <w:pPr>
        <w:ind w:left="360"/>
        <w:rPr>
          <w:b/>
        </w:rPr>
      </w:pPr>
    </w:p>
    <w:p w:rsidR="001B1EEE" w:rsidRPr="000120CB" w:rsidRDefault="001B1EEE" w:rsidP="001B1EEE">
      <w:pPr>
        <w:rPr>
          <w:b/>
          <w:u w:val="single"/>
        </w:rPr>
      </w:pPr>
      <w:r w:rsidRPr="000120CB">
        <w:rPr>
          <w:b/>
          <w:u w:val="single"/>
        </w:rPr>
        <w:t xml:space="preserve">COI Management Measures for </w:t>
      </w:r>
      <w:r w:rsidR="00461F6A">
        <w:rPr>
          <w:b/>
          <w:u w:val="single"/>
        </w:rPr>
        <w:t>Fiduciary Roles</w:t>
      </w:r>
    </w:p>
    <w:p w:rsidR="001B1EEE" w:rsidRDefault="001B1EEE" w:rsidP="001B1EEE"/>
    <w:p w:rsidR="001B1EEE" w:rsidRDefault="001B1EEE" w:rsidP="001B1EEE">
      <w:r>
        <w:t xml:space="preserve">Management strategies employed by COI if </w:t>
      </w:r>
      <w:r w:rsidR="00461F6A">
        <w:t>the fiduciary role</w:t>
      </w:r>
      <w:r>
        <w:t xml:space="preserve"> is approved may include, but are not limited to, one or more of the following:</w:t>
      </w:r>
    </w:p>
    <w:p w:rsidR="001B1EEE" w:rsidRDefault="001B1EEE" w:rsidP="001B1EEE"/>
    <w:p w:rsidR="00461F6A" w:rsidRDefault="00461F6A" w:rsidP="00461F6A">
      <w:pPr>
        <w:numPr>
          <w:ilvl w:val="1"/>
          <w:numId w:val="30"/>
        </w:numPr>
        <w:tabs>
          <w:tab w:val="clear" w:pos="1440"/>
          <w:tab w:val="num" w:pos="1080"/>
        </w:tabs>
        <w:ind w:hanging="720"/>
      </w:pPr>
      <w:r>
        <w:t>Disclosure in all relevant publications, presentations and in relevant settings</w:t>
      </w:r>
    </w:p>
    <w:p w:rsidR="001B1EEE" w:rsidRDefault="00461F6A" w:rsidP="001B1EEE">
      <w:pPr>
        <w:numPr>
          <w:ilvl w:val="1"/>
          <w:numId w:val="30"/>
        </w:numPr>
        <w:tabs>
          <w:tab w:val="clear" w:pos="1440"/>
          <w:tab w:val="num" w:pos="1080"/>
        </w:tabs>
        <w:ind w:left="1080"/>
      </w:pPr>
      <w:r>
        <w:t>A required written agreement with the company incorporating the Johns Hopkins Uniform Provisions</w:t>
      </w:r>
    </w:p>
    <w:p w:rsidR="001B1EEE" w:rsidRDefault="001B1EEE" w:rsidP="001B1EEE">
      <w:pPr>
        <w:numPr>
          <w:ilvl w:val="1"/>
          <w:numId w:val="30"/>
        </w:numPr>
        <w:tabs>
          <w:tab w:val="clear" w:pos="1440"/>
          <w:tab w:val="num" w:pos="1080"/>
        </w:tabs>
        <w:ind w:hanging="720"/>
      </w:pPr>
      <w:r>
        <w:t>Annual report to COI</w:t>
      </w:r>
    </w:p>
    <w:p w:rsidR="001B1EEE" w:rsidRDefault="001B1EEE" w:rsidP="001B1EEE">
      <w:pPr>
        <w:numPr>
          <w:ilvl w:val="1"/>
          <w:numId w:val="30"/>
        </w:numPr>
        <w:tabs>
          <w:tab w:val="clear" w:pos="1440"/>
          <w:tab w:val="num" w:pos="1080"/>
        </w:tabs>
        <w:ind w:hanging="720"/>
      </w:pPr>
      <w:r>
        <w:t>Proof of Directors’ &amp; Officers’ insurance</w:t>
      </w:r>
    </w:p>
    <w:p w:rsidR="001B1EEE" w:rsidRDefault="001B1EEE" w:rsidP="00355545">
      <w:pPr>
        <w:numPr>
          <w:ilvl w:val="1"/>
          <w:numId w:val="30"/>
        </w:numPr>
        <w:tabs>
          <w:tab w:val="clear" w:pos="1440"/>
          <w:tab w:val="num" w:pos="1080"/>
        </w:tabs>
        <w:ind w:left="1080"/>
      </w:pPr>
      <w:r>
        <w:t>Limit on duration of service, e.g., one year</w:t>
      </w:r>
      <w:r w:rsidR="00461F6A">
        <w:t xml:space="preserve"> se</w:t>
      </w:r>
      <w:r w:rsidR="00355545">
        <w:t xml:space="preserve">t by COI or the covered party’s </w:t>
      </w:r>
      <w:r w:rsidR="00461F6A">
        <w:t>department director</w:t>
      </w:r>
    </w:p>
    <w:p w:rsidR="001B1EEE" w:rsidRDefault="00461F6A" w:rsidP="001B1EEE">
      <w:pPr>
        <w:numPr>
          <w:ilvl w:val="1"/>
          <w:numId w:val="30"/>
        </w:numPr>
        <w:tabs>
          <w:tab w:val="clear" w:pos="1440"/>
          <w:tab w:val="num" w:pos="1080"/>
        </w:tabs>
        <w:ind w:left="1080"/>
      </w:pPr>
      <w:r>
        <w:t>Manuscript review by an appropriate independent reviewer</w:t>
      </w:r>
    </w:p>
    <w:p w:rsidR="001B1EEE" w:rsidRDefault="001B1EEE" w:rsidP="001B1EEE">
      <w:pPr>
        <w:numPr>
          <w:ilvl w:val="1"/>
          <w:numId w:val="30"/>
        </w:numPr>
        <w:tabs>
          <w:tab w:val="clear" w:pos="1440"/>
          <w:tab w:val="num" w:pos="1080"/>
        </w:tabs>
        <w:ind w:left="1080"/>
      </w:pPr>
      <w:r>
        <w:t>Oversight or monitoring of research for data integrity; appropriate allocation of resources; and protection of students and trainees</w:t>
      </w:r>
    </w:p>
    <w:p w:rsidR="0069185F" w:rsidRPr="00325D19" w:rsidRDefault="001B1EEE" w:rsidP="001B1EEE">
      <w:pPr>
        <w:numPr>
          <w:ilvl w:val="1"/>
          <w:numId w:val="30"/>
        </w:numPr>
        <w:tabs>
          <w:tab w:val="clear" w:pos="1440"/>
          <w:tab w:val="num" w:pos="1080"/>
        </w:tabs>
        <w:ind w:hanging="720"/>
      </w:pPr>
      <w:r>
        <w:t>Stock escrow or similar measures</w:t>
      </w:r>
    </w:p>
    <w:sectPr w:rsidR="0069185F" w:rsidRPr="00325D19" w:rsidSect="00D029BB">
      <w:headerReference w:type="default" r:id="rId7"/>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E1" w:rsidRDefault="00313FE1">
      <w:r>
        <w:separator/>
      </w:r>
    </w:p>
  </w:endnote>
  <w:endnote w:type="continuationSeparator" w:id="0">
    <w:p w:rsidR="00313FE1" w:rsidRDefault="00313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E1" w:rsidRDefault="00313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3FE1" w:rsidRDefault="00313F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E1" w:rsidRDefault="00313FE1">
    <w:pPr>
      <w:pStyle w:val="Footer"/>
      <w:pBdr>
        <w:top w:val="single" w:sz="4" w:space="1" w:color="808080"/>
      </w:pBdr>
      <w:tabs>
        <w:tab w:val="center" w:pos="4680"/>
        <w:tab w:val="right" w:pos="9360"/>
      </w:tabs>
      <w:jc w:val="both"/>
      <w:rPr>
        <w:color w:val="808080"/>
        <w:sz w:val="18"/>
        <w:szCs w:val="18"/>
      </w:rPr>
    </w:pPr>
    <w:smartTag w:uri="urn:schemas-microsoft-com:office:smarttags" w:element="place">
      <w:smartTag w:uri="urn:schemas-microsoft-com:office:smarttags" w:element="PlaceName">
        <w:r>
          <w:rPr>
            <w:color w:val="808080"/>
            <w:sz w:val="18"/>
            <w:szCs w:val="18"/>
          </w:rPr>
          <w:t>Johns</w:t>
        </w:r>
      </w:smartTag>
      <w:r>
        <w:rPr>
          <w:color w:val="808080"/>
          <w:sz w:val="18"/>
          <w:szCs w:val="18"/>
        </w:rPr>
        <w:t xml:space="preserve"> </w:t>
      </w:r>
      <w:smartTag w:uri="urn:schemas-microsoft-com:office:smarttags" w:element="PlaceName">
        <w:r>
          <w:rPr>
            <w:color w:val="808080"/>
            <w:sz w:val="18"/>
            <w:szCs w:val="18"/>
          </w:rPr>
          <w:t>Hopkins</w:t>
        </w:r>
      </w:smartTag>
      <w:r>
        <w:rPr>
          <w:color w:val="808080"/>
          <w:sz w:val="18"/>
          <w:szCs w:val="18"/>
        </w:rPr>
        <w:t xml:space="preserve"> </w:t>
      </w:r>
      <w:smartTag w:uri="urn:schemas-microsoft-com:office:smarttags" w:element="PlaceType">
        <w:r>
          <w:rPr>
            <w:color w:val="808080"/>
            <w:sz w:val="18"/>
            <w:szCs w:val="18"/>
          </w:rPr>
          <w:t>University</w:t>
        </w:r>
      </w:smartTag>
      <w:r>
        <w:rPr>
          <w:color w:val="808080"/>
          <w:sz w:val="18"/>
          <w:szCs w:val="18"/>
        </w:rPr>
        <w:t xml:space="preserve"> </w:t>
      </w:r>
      <w:smartTag w:uri="urn:schemas-microsoft-com:office:smarttags" w:element="PlaceType">
        <w:r>
          <w:rPr>
            <w:color w:val="808080"/>
            <w:sz w:val="18"/>
            <w:szCs w:val="18"/>
          </w:rPr>
          <w:t>School</w:t>
        </w:r>
      </w:smartTag>
    </w:smartTag>
    <w:r>
      <w:rPr>
        <w:color w:val="808080"/>
        <w:sz w:val="18"/>
        <w:szCs w:val="18"/>
      </w:rPr>
      <w:t xml:space="preserve"> of Medicine</w:t>
    </w:r>
    <w:r>
      <w:rPr>
        <w:color w:val="808080"/>
        <w:sz w:val="18"/>
        <w:szCs w:val="18"/>
      </w:rPr>
      <w:tab/>
    </w:r>
    <w:r>
      <w:rPr>
        <w:color w:val="808080"/>
        <w:sz w:val="18"/>
        <w:szCs w:val="18"/>
      </w:rPr>
      <w:tab/>
    </w:r>
    <w:r>
      <w:rPr>
        <w:color w:val="808080"/>
        <w:sz w:val="18"/>
        <w:szCs w:val="18"/>
      </w:rPr>
      <w:fldChar w:fldCharType="begin"/>
    </w:r>
    <w:r>
      <w:rPr>
        <w:color w:val="808080"/>
        <w:sz w:val="18"/>
        <w:szCs w:val="18"/>
      </w:rPr>
      <w:instrText xml:space="preserve"> SAVEDATE  \@ "M/d/yyyy"  \* MERGEFORMAT </w:instrText>
    </w:r>
    <w:r>
      <w:rPr>
        <w:color w:val="808080"/>
        <w:sz w:val="18"/>
        <w:szCs w:val="18"/>
      </w:rPr>
      <w:fldChar w:fldCharType="separate"/>
    </w:r>
    <w:r>
      <w:rPr>
        <w:noProof/>
        <w:color w:val="808080"/>
        <w:sz w:val="18"/>
        <w:szCs w:val="18"/>
      </w:rPr>
      <w:t>6/16/2010</w:t>
    </w:r>
    <w:r>
      <w:rPr>
        <w:color w:val="808080"/>
        <w:sz w:val="18"/>
        <w:szCs w:val="18"/>
      </w:rPr>
      <w:fldChar w:fldCharType="end"/>
    </w:r>
  </w:p>
  <w:p w:rsidR="00313FE1" w:rsidRDefault="00313FE1">
    <w:pPr>
      <w:pStyle w:val="Footer"/>
      <w:tabs>
        <w:tab w:val="center" w:pos="4680"/>
        <w:tab w:val="right" w:pos="9360"/>
      </w:tabs>
      <w:jc w:val="both"/>
      <w:rPr>
        <w:color w:val="808080"/>
        <w:sz w:val="18"/>
        <w:szCs w:val="18"/>
      </w:rPr>
    </w:pPr>
    <w:r>
      <w:rPr>
        <w:color w:val="808080"/>
        <w:sz w:val="18"/>
        <w:szCs w:val="18"/>
      </w:rPr>
      <w:fldChar w:fldCharType="begin"/>
    </w:r>
    <w:r>
      <w:rPr>
        <w:color w:val="808080"/>
        <w:sz w:val="18"/>
        <w:szCs w:val="18"/>
      </w:rPr>
      <w:instrText xml:space="preserve"> FILENAME </w:instrText>
    </w:r>
    <w:r>
      <w:rPr>
        <w:color w:val="808080"/>
        <w:sz w:val="18"/>
        <w:szCs w:val="18"/>
      </w:rPr>
      <w:fldChar w:fldCharType="separate"/>
    </w:r>
    <w:r>
      <w:rPr>
        <w:noProof/>
        <w:color w:val="808080"/>
        <w:sz w:val="18"/>
        <w:szCs w:val="18"/>
      </w:rPr>
      <w:t>Document2</w:t>
    </w:r>
    <w:r>
      <w:rPr>
        <w:color w:val="808080"/>
        <w:sz w:val="18"/>
        <w:szCs w:val="18"/>
      </w:rPr>
      <w:fldChar w:fldCharType="end"/>
    </w:r>
    <w:r>
      <w:rPr>
        <w:color w:val="808080"/>
        <w:sz w:val="18"/>
        <w:szCs w:val="18"/>
      </w:rPr>
      <w:tab/>
    </w:r>
    <w:r>
      <w:rPr>
        <w:color w:val="808080"/>
        <w:sz w:val="18"/>
        <w:szCs w:val="18"/>
      </w:rPr>
      <w:tab/>
      <w:t xml:space="preserve">Page </w:t>
    </w:r>
    <w:r>
      <w:rPr>
        <w:color w:val="808080"/>
        <w:sz w:val="18"/>
        <w:szCs w:val="18"/>
      </w:rPr>
      <w:fldChar w:fldCharType="begin"/>
    </w:r>
    <w:r>
      <w:rPr>
        <w:color w:val="808080"/>
        <w:sz w:val="18"/>
        <w:szCs w:val="18"/>
      </w:rPr>
      <w:instrText xml:space="preserve"> PAGE </w:instrText>
    </w:r>
    <w:r>
      <w:rPr>
        <w:color w:val="808080"/>
        <w:sz w:val="18"/>
        <w:szCs w:val="18"/>
      </w:rPr>
      <w:fldChar w:fldCharType="separate"/>
    </w:r>
    <w:r w:rsidR="00767A70">
      <w:rPr>
        <w:noProof/>
        <w:color w:val="808080"/>
        <w:sz w:val="18"/>
        <w:szCs w:val="18"/>
      </w:rPr>
      <w:t>1</w:t>
    </w:r>
    <w:r>
      <w:rPr>
        <w:color w:val="808080"/>
        <w:sz w:val="18"/>
        <w:szCs w:val="18"/>
      </w:rPr>
      <w:fldChar w:fldCharType="end"/>
    </w:r>
    <w:r>
      <w:rPr>
        <w:color w:val="808080"/>
        <w:sz w:val="18"/>
        <w:szCs w:val="18"/>
      </w:rPr>
      <w:t xml:space="preserve"> of </w:t>
    </w:r>
    <w:r>
      <w:rPr>
        <w:color w:val="808080"/>
        <w:sz w:val="18"/>
        <w:szCs w:val="18"/>
      </w:rPr>
      <w:fldChar w:fldCharType="begin"/>
    </w:r>
    <w:r>
      <w:rPr>
        <w:color w:val="808080"/>
        <w:sz w:val="18"/>
        <w:szCs w:val="18"/>
      </w:rPr>
      <w:instrText xml:space="preserve"> NUMPAGES </w:instrText>
    </w:r>
    <w:r>
      <w:rPr>
        <w:color w:val="808080"/>
        <w:sz w:val="18"/>
        <w:szCs w:val="18"/>
      </w:rPr>
      <w:fldChar w:fldCharType="separate"/>
    </w:r>
    <w:r w:rsidR="00767A70">
      <w:rPr>
        <w:noProof/>
        <w:color w:val="808080"/>
        <w:sz w:val="18"/>
        <w:szCs w:val="18"/>
      </w:rPr>
      <w:t>4</w:t>
    </w:r>
    <w:r>
      <w:rPr>
        <w:color w:val="8080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E1" w:rsidRDefault="00313FE1">
      <w:r>
        <w:separator/>
      </w:r>
    </w:p>
  </w:footnote>
  <w:footnote w:type="continuationSeparator" w:id="0">
    <w:p w:rsidR="00313FE1" w:rsidRDefault="00313FE1">
      <w:r>
        <w:continuationSeparator/>
      </w:r>
    </w:p>
  </w:footnote>
  <w:footnote w:id="1">
    <w:p w:rsidR="00313FE1" w:rsidRPr="001B1EEE" w:rsidRDefault="00313FE1" w:rsidP="001B1EEE">
      <w:pPr>
        <w:pStyle w:val="FootnoteText"/>
        <w:rPr>
          <w:sz w:val="16"/>
          <w:szCs w:val="16"/>
        </w:rPr>
      </w:pPr>
      <w:r>
        <w:rPr>
          <w:rStyle w:val="FootnoteReference"/>
        </w:rPr>
        <w:footnoteRef/>
      </w:r>
      <w:r>
        <w:t xml:space="preserve"> </w:t>
      </w:r>
      <w:r w:rsidRPr="001B1EEE">
        <w:rPr>
          <w:b w:val="0"/>
          <w:sz w:val="16"/>
          <w:szCs w:val="16"/>
        </w:rPr>
        <w:t xml:space="preserve">The term “covered party” is defined in the Policy on Conflict of Interest as including faculty, staff, trainees, students, administrators and researchers who are compensated or otherwise supported by The Johns Hopkins University School of Medicine for their services or who appear to act as agents of the School of Medicine in using, controlling, or assigning to others the use of School of Medicine facilities and resources in the conduct of research.  Johns Hopkins Health System </w:t>
      </w:r>
      <w:proofErr w:type="gramStart"/>
      <w:r w:rsidRPr="001B1EEE">
        <w:rPr>
          <w:b w:val="0"/>
          <w:sz w:val="16"/>
          <w:szCs w:val="16"/>
        </w:rPr>
        <w:t>staff</w:t>
      </w:r>
      <w:proofErr w:type="gramEnd"/>
      <w:r w:rsidRPr="001B1EEE">
        <w:rPr>
          <w:b w:val="0"/>
          <w:sz w:val="16"/>
          <w:szCs w:val="16"/>
        </w:rPr>
        <w:t xml:space="preserve"> who are participating in research under the auspices of the </w:t>
      </w:r>
      <w:smartTag w:uri="urn:schemas-microsoft-com:office:smarttags" w:element="place">
        <w:smartTag w:uri="urn:schemas-microsoft-com:office:smarttags" w:element="PlaceType">
          <w:r w:rsidRPr="001B1EEE">
            <w:rPr>
              <w:b w:val="0"/>
              <w:sz w:val="16"/>
              <w:szCs w:val="16"/>
            </w:rPr>
            <w:t>School</w:t>
          </w:r>
        </w:smartTag>
        <w:r w:rsidRPr="001B1EEE">
          <w:rPr>
            <w:b w:val="0"/>
            <w:sz w:val="16"/>
            <w:szCs w:val="16"/>
          </w:rPr>
          <w:t xml:space="preserve"> of </w:t>
        </w:r>
        <w:smartTag w:uri="urn:schemas-microsoft-com:office:smarttags" w:element="PlaceName">
          <w:r w:rsidRPr="001B1EEE">
            <w:rPr>
              <w:b w:val="0"/>
              <w:sz w:val="16"/>
              <w:szCs w:val="16"/>
            </w:rPr>
            <w:t>Medicine</w:t>
          </w:r>
        </w:smartTag>
      </w:smartTag>
      <w:r w:rsidRPr="001B1EEE">
        <w:rPr>
          <w:b w:val="0"/>
          <w:sz w:val="16"/>
          <w:szCs w:val="16"/>
        </w:rPr>
        <w:t xml:space="preserve"> also are considered covered parties.  The CCOI policy requires that the financial and fiduciary interests of their spouse, domestic partner, an</w:t>
      </w:r>
      <w:r>
        <w:rPr>
          <w:b w:val="0"/>
          <w:sz w:val="16"/>
          <w:szCs w:val="16"/>
        </w:rPr>
        <w:t xml:space="preserve">d minor dependents be reported </w:t>
      </w:r>
      <w:r w:rsidRPr="001B1EEE">
        <w:rPr>
          <w:b w:val="0"/>
          <w:sz w:val="16"/>
          <w:szCs w:val="16"/>
        </w:rPr>
        <w:t>by covered parties and states they may be subject to review and management to the extent that they introduce real or perceived conflicts on the part of covered parties.</w:t>
      </w:r>
      <w:r w:rsidRPr="001B1EEE">
        <w:rPr>
          <w:sz w:val="16"/>
          <w:szCs w:val="16"/>
        </w:rPr>
        <w:t xml:space="preserve"> </w:t>
      </w:r>
    </w:p>
  </w:footnote>
  <w:footnote w:id="2">
    <w:p w:rsidR="00313FE1" w:rsidRPr="001B1EEE" w:rsidRDefault="00313FE1" w:rsidP="001B1EEE">
      <w:pPr>
        <w:pStyle w:val="FootnoteText"/>
        <w:rPr>
          <w:b w:val="0"/>
          <w:sz w:val="16"/>
          <w:szCs w:val="16"/>
        </w:rPr>
      </w:pPr>
      <w:r w:rsidRPr="000C52D5">
        <w:rPr>
          <w:rStyle w:val="FootnoteReference"/>
          <w:b w:val="0"/>
          <w:sz w:val="16"/>
          <w:szCs w:val="16"/>
        </w:rPr>
        <w:footnoteRef/>
      </w:r>
      <w:r w:rsidRPr="000C52D5">
        <w:rPr>
          <w:b w:val="0"/>
        </w:rPr>
        <w:t xml:space="preserve"> </w:t>
      </w:r>
      <w:r w:rsidRPr="001B1EEE">
        <w:rPr>
          <w:b w:val="0"/>
          <w:sz w:val="16"/>
          <w:szCs w:val="16"/>
        </w:rPr>
        <w:t xml:space="preserve">The phrase “in the field” may mean, for example, research involving a similar diagnostic or therapeutic strategy of a </w:t>
      </w:r>
      <w:r w:rsidRPr="001B1EEE">
        <w:rPr>
          <w:b w:val="0"/>
          <w:i/>
          <w:sz w:val="16"/>
          <w:szCs w:val="16"/>
        </w:rPr>
        <w:t>financially interested company</w:t>
      </w:r>
      <w:r w:rsidRPr="001B1EEE">
        <w:rPr>
          <w:b w:val="0"/>
          <w:sz w:val="16"/>
          <w:szCs w:val="16"/>
        </w:rPr>
        <w:t xml:space="preserve"> (see footnote 4 for definition) but targeting different organ systems; or research involving complementary or competitive approaches to treatment of the same disease or disorder.  By examining the company’s business and the scope of research conducted by the covered party and under the covered party’s supervision, CCOI will judge whether his/her research or that of a subordinate is “in the field.” </w:t>
      </w:r>
    </w:p>
  </w:footnote>
  <w:footnote w:id="3">
    <w:p w:rsidR="00313FE1" w:rsidRPr="001B1EEE" w:rsidRDefault="00313FE1" w:rsidP="001B1EEE">
      <w:pPr>
        <w:pStyle w:val="FootnoteText"/>
        <w:rPr>
          <w:b w:val="0"/>
          <w:sz w:val="16"/>
          <w:szCs w:val="16"/>
        </w:rPr>
      </w:pPr>
      <w:r w:rsidRPr="001B1EEE">
        <w:rPr>
          <w:rStyle w:val="FootnoteReference"/>
          <w:b w:val="0"/>
          <w:sz w:val="16"/>
          <w:szCs w:val="16"/>
        </w:rPr>
        <w:footnoteRef/>
      </w:r>
      <w:r w:rsidRPr="001B1EEE">
        <w:rPr>
          <w:b w:val="0"/>
          <w:sz w:val="16"/>
          <w:szCs w:val="16"/>
        </w:rPr>
        <w:t xml:space="preserve"> The term subordinate will refer to those who report directly to the covered party (e.g., whose salary and promotion are determined by the covered party) and may also include individuals who do not directly report to the covered party but whose division, laboratory, or unit is under the overall supervision of the covered party.   In any individual case, the CCOI will determine whether the integrity or safety of the research activity of a subordinate – whether or not a direct subordinate -- is placed at risk by the proposed board of directors service.</w:t>
      </w:r>
    </w:p>
  </w:footnote>
  <w:footnote w:id="4">
    <w:p w:rsidR="00313FE1" w:rsidRPr="006029E1" w:rsidRDefault="00313FE1" w:rsidP="001B1EEE">
      <w:pPr>
        <w:pStyle w:val="FootnoteText"/>
        <w:rPr>
          <w:b w:val="0"/>
          <w:sz w:val="18"/>
          <w:szCs w:val="18"/>
        </w:rPr>
      </w:pPr>
      <w:r>
        <w:rPr>
          <w:rStyle w:val="FootnoteReference"/>
        </w:rPr>
        <w:footnoteRef/>
      </w:r>
      <w:r>
        <w:t xml:space="preserve"> </w:t>
      </w:r>
      <w:r w:rsidRPr="001B1EEE">
        <w:rPr>
          <w:b w:val="0"/>
          <w:sz w:val="16"/>
          <w:szCs w:val="16"/>
        </w:rPr>
        <w:t xml:space="preserve">A financially interested company is defined in the </w:t>
      </w:r>
      <w:smartTag w:uri="urn:schemas-microsoft-com:office:smarttags" w:element="place">
        <w:smartTag w:uri="urn:schemas-microsoft-com:office:smarttags" w:element="PlaceType">
          <w:r w:rsidRPr="001B1EEE">
            <w:rPr>
              <w:b w:val="0"/>
              <w:sz w:val="16"/>
              <w:szCs w:val="16"/>
            </w:rPr>
            <w:t>School</w:t>
          </w:r>
        </w:smartTag>
        <w:r w:rsidRPr="001B1EEE">
          <w:rPr>
            <w:b w:val="0"/>
            <w:sz w:val="16"/>
            <w:szCs w:val="16"/>
          </w:rPr>
          <w:t xml:space="preserve"> of </w:t>
        </w:r>
        <w:smartTag w:uri="urn:schemas-microsoft-com:office:smarttags" w:element="PlaceName">
          <w:r w:rsidRPr="001B1EEE">
            <w:rPr>
              <w:b w:val="0"/>
              <w:sz w:val="16"/>
              <w:szCs w:val="16"/>
            </w:rPr>
            <w:t>Medicine</w:t>
          </w:r>
        </w:smartTag>
      </w:smartTag>
      <w:r w:rsidRPr="001B1EEE">
        <w:rPr>
          <w:b w:val="0"/>
          <w:sz w:val="16"/>
          <w:szCs w:val="16"/>
        </w:rPr>
        <w:t>’s Policy on Conflict of Interest as follows:  “</w:t>
      </w:r>
      <w:r w:rsidRPr="001B1EEE">
        <w:rPr>
          <w:rStyle w:val="bodytext1"/>
          <w:b w:val="0"/>
          <w:sz w:val="16"/>
          <w:szCs w:val="16"/>
        </w:rPr>
        <w:t>Financially interested company means a commercial entity whose financial interests would reasonably appear to be affected by the conduct or outcome of the research. Examples include, but are not limited to, companies that hold patent rights for discoveries, drugs or devices being studied in research protocols or companies that provide financial or in-kind support for research projects. This term includes companies that compete with the sponsor of the research or the manufacturer of the investigational product, if the covered party knows that the financial interests of such a company would reasonably appear to be affected by the research. This term also includes any entity acting as the agent of a financially interested company (e.g., a contract research organization).”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E1" w:rsidRPr="002832F3" w:rsidRDefault="00313FE1" w:rsidP="00E33203">
    <w:pPr>
      <w:pStyle w:val="Date"/>
      <w:jc w:val="center"/>
      <w:rPr>
        <w:b/>
      </w:rPr>
    </w:pPr>
    <w:r>
      <w:rPr>
        <w:noProof/>
        <w:sz w:val="16"/>
        <w:szCs w:val="16"/>
      </w:rPr>
      <w:drawing>
        <wp:inline distT="0" distB="0" distL="0" distR="0">
          <wp:extent cx="1752600" cy="400050"/>
          <wp:effectExtent l="19050" t="0" r="0" b="0"/>
          <wp:docPr id="1" name="Picture 1" descr="ho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kins"/>
                  <pic:cNvPicPr>
                    <a:picLocks noChangeAspect="1" noChangeArrowheads="1"/>
                  </pic:cNvPicPr>
                </pic:nvPicPr>
                <pic:blipFill>
                  <a:blip r:embed="rId1"/>
                  <a:srcRect/>
                  <a:stretch>
                    <a:fillRect/>
                  </a:stretch>
                </pic:blipFill>
                <pic:spPr bwMode="auto">
                  <a:xfrm>
                    <a:off x="0" y="0"/>
                    <a:ext cx="1752600" cy="400050"/>
                  </a:xfrm>
                  <a:prstGeom prst="rect">
                    <a:avLst/>
                  </a:prstGeom>
                  <a:noFill/>
                  <a:ln w="9525">
                    <a:noFill/>
                    <a:miter lim="800000"/>
                    <a:headEnd/>
                    <a:tailEnd/>
                  </a:ln>
                </pic:spPr>
              </pic:pic>
            </a:graphicData>
          </a:graphic>
        </wp:inline>
      </w:drawing>
    </w:r>
    <w:r>
      <w:rPr>
        <w:sz w:val="16"/>
        <w:szCs w:val="16"/>
      </w:rPr>
      <w:br/>
    </w:r>
    <w:r>
      <w:rPr>
        <w:sz w:val="16"/>
        <w:szCs w:val="16"/>
      </w:rPr>
      <w:br/>
    </w:r>
    <w:r w:rsidRPr="002832F3">
      <w:rPr>
        <w:b/>
      </w:rPr>
      <w:t xml:space="preserve">The </w:t>
    </w:r>
    <w:smartTag w:uri="urn:schemas-microsoft-com:office:smarttags" w:element="place">
      <w:smartTag w:uri="urn:schemas-microsoft-com:office:smarttags" w:element="PlaceName">
        <w:r w:rsidRPr="002832F3">
          <w:rPr>
            <w:b/>
          </w:rPr>
          <w:t>Johns</w:t>
        </w:r>
      </w:smartTag>
      <w:r w:rsidRPr="002832F3">
        <w:rPr>
          <w:b/>
        </w:rPr>
        <w:t xml:space="preserve"> </w:t>
      </w:r>
      <w:smartTag w:uri="urn:schemas-microsoft-com:office:smarttags" w:element="PlaceName">
        <w:r w:rsidRPr="002832F3">
          <w:rPr>
            <w:b/>
          </w:rPr>
          <w:t>Hopkins</w:t>
        </w:r>
      </w:smartTag>
      <w:r w:rsidRPr="002832F3">
        <w:rPr>
          <w:b/>
        </w:rPr>
        <w:t xml:space="preserve"> </w:t>
      </w:r>
      <w:smartTag w:uri="urn:schemas-microsoft-com:office:smarttags" w:element="PlaceType">
        <w:r w:rsidRPr="002832F3">
          <w:rPr>
            <w:b/>
          </w:rPr>
          <w:t>University</w:t>
        </w:r>
      </w:smartTag>
    </w:smartTag>
  </w:p>
  <w:p w:rsidR="00313FE1" w:rsidRPr="002832F3" w:rsidRDefault="00313FE1" w:rsidP="00E33203">
    <w:pPr>
      <w:pStyle w:val="Date"/>
      <w:jc w:val="center"/>
      <w:rPr>
        <w:b/>
      </w:rPr>
    </w:pPr>
    <w:smartTag w:uri="urn:schemas-microsoft-com:office:smarttags" w:element="place">
      <w:smartTag w:uri="urn:schemas-microsoft-com:office:smarttags" w:element="PlaceType">
        <w:r w:rsidRPr="002832F3">
          <w:rPr>
            <w:b/>
          </w:rPr>
          <w:t>School</w:t>
        </w:r>
      </w:smartTag>
      <w:r w:rsidRPr="002832F3">
        <w:rPr>
          <w:b/>
        </w:rPr>
        <w:t xml:space="preserve"> of </w:t>
      </w:r>
      <w:smartTag w:uri="urn:schemas-microsoft-com:office:smarttags" w:element="PlaceName">
        <w:r w:rsidRPr="002832F3">
          <w:rPr>
            <w:b/>
          </w:rPr>
          <w:t>Medicine</w:t>
        </w:r>
      </w:smartTag>
    </w:smartTag>
  </w:p>
  <w:p w:rsidR="00313FE1" w:rsidRPr="00DE7856" w:rsidRDefault="00313FE1" w:rsidP="00E33203">
    <w:pPr>
      <w:pStyle w:val="Date"/>
      <w:jc w:val="center"/>
      <w:rPr>
        <w:rStyle w:val="Heading1Char"/>
        <w:sz w:val="16"/>
        <w:szCs w:val="16"/>
      </w:rPr>
    </w:pPr>
    <w:r w:rsidRPr="00865240">
      <w:rPr>
        <w:b/>
        <w:noProof/>
        <w:sz w:val="24"/>
        <w:szCs w:val="24"/>
      </w:rPr>
      <w:pict>
        <v:line id="_x0000_s2062" style="position:absolute;left:0;text-align:left;z-index:251657728" from="-4.95pt,15.85pt" to="472.05pt,15.85pt"/>
      </w:pict>
    </w:r>
    <w:r w:rsidRPr="002832F3">
      <w:rPr>
        <w:b/>
        <w:sz w:val="24"/>
        <w:szCs w:val="24"/>
      </w:rPr>
      <w:t>Committee on Outside Interests</w:t>
    </w:r>
    <w:r>
      <w:rPr>
        <w:b/>
        <w:sz w:val="24"/>
        <w:szCs w:val="24"/>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F48"/>
    <w:multiLevelType w:val="multilevel"/>
    <w:tmpl w:val="CAD84322"/>
    <w:lvl w:ilvl="0">
      <w:start w:val="1"/>
      <w:numFmt w:val="decimal"/>
      <w:lvlText w:val="%1."/>
      <w:lvlJc w:val="left"/>
      <w:pPr>
        <w:tabs>
          <w:tab w:val="num" w:pos="720"/>
        </w:tabs>
        <w:ind w:left="720" w:hanging="720"/>
      </w:pPr>
      <w:rPr>
        <w:rFonts w:hint="default"/>
        <w:b/>
        <w:i w:val="0"/>
        <w:sz w:val="20"/>
        <w:szCs w:val="20"/>
      </w:rPr>
    </w:lvl>
    <w:lvl w:ilvl="1">
      <w:start w:val="1"/>
      <w:numFmt w:val="lowerLetter"/>
      <w:lvlText w:val="%2."/>
      <w:lvlJc w:val="left"/>
      <w:pPr>
        <w:tabs>
          <w:tab w:val="num" w:pos="1440"/>
        </w:tabs>
        <w:ind w:left="1440"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952D81"/>
    <w:multiLevelType w:val="hybridMultilevel"/>
    <w:tmpl w:val="5B9842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C52AB"/>
    <w:multiLevelType w:val="multilevel"/>
    <w:tmpl w:val="63B44BC0"/>
    <w:lvl w:ilvl="0">
      <w:start w:val="1"/>
      <w:numFmt w:val="decimal"/>
      <w:lvlText w:val="%1."/>
      <w:lvlJc w:val="left"/>
      <w:pPr>
        <w:tabs>
          <w:tab w:val="num" w:pos="720"/>
        </w:tabs>
        <w:ind w:left="720" w:hanging="720"/>
      </w:pPr>
      <w:rPr>
        <w:rFonts w:hint="default"/>
        <w:b/>
        <w:i w:val="0"/>
        <w:sz w:val="20"/>
        <w:szCs w:val="20"/>
      </w:rPr>
    </w:lvl>
    <w:lvl w:ilvl="1">
      <w:start w:val="1"/>
      <w:numFmt w:val="lowerLetter"/>
      <w:lvlText w:val="%2)"/>
      <w:lvlJc w:val="left"/>
      <w:pPr>
        <w:tabs>
          <w:tab w:val="num" w:pos="720"/>
        </w:tabs>
        <w:ind w:left="720" w:hanging="36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6943CE"/>
    <w:multiLevelType w:val="multilevel"/>
    <w:tmpl w:val="78943460"/>
    <w:lvl w:ilvl="0">
      <w:start w:val="1"/>
      <w:numFmt w:val="upperLetter"/>
      <w:lvlText w:val="%1."/>
      <w:lvlJc w:val="left"/>
      <w:pPr>
        <w:tabs>
          <w:tab w:val="num" w:pos="720"/>
        </w:tabs>
        <w:ind w:left="720" w:hanging="720"/>
      </w:pPr>
      <w:rPr>
        <w:rFonts w:hint="default"/>
        <w:b/>
        <w:i w:val="0"/>
        <w:sz w:val="20"/>
        <w:szCs w:val="20"/>
      </w:rPr>
    </w:lvl>
    <w:lvl w:ilvl="1">
      <w:start w:val="1"/>
      <w:numFmt w:val="decimal"/>
      <w:lvlText w:val="%2."/>
      <w:lvlJc w:val="left"/>
      <w:pPr>
        <w:tabs>
          <w:tab w:val="num" w:pos="720"/>
        </w:tabs>
        <w:ind w:left="1368" w:hanging="576"/>
      </w:pPr>
      <w:rPr>
        <w:rFonts w:hint="default"/>
        <w:b w:val="0"/>
        <w:i w:val="0"/>
        <w:sz w:val="20"/>
        <w:szCs w:val="20"/>
      </w:rPr>
    </w:lvl>
    <w:lvl w:ilvl="2">
      <w:start w:val="1"/>
      <w:numFmt w:val="lowerLetter"/>
      <w:lvlText w:val="%3."/>
      <w:lvlJc w:val="right"/>
      <w:pPr>
        <w:tabs>
          <w:tab w:val="num" w:pos="1440"/>
        </w:tabs>
        <w:ind w:left="2160" w:hanging="576"/>
      </w:pPr>
      <w:rPr>
        <w:rFonts w:hint="default"/>
        <w:b w:val="0"/>
        <w:i w:val="0"/>
      </w:rPr>
    </w:lvl>
    <w:lvl w:ilvl="3">
      <w:start w:val="1"/>
      <w:numFmt w:val="decimal"/>
      <w:lvlText w:val="%4."/>
      <w:lvlJc w:val="left"/>
      <w:pPr>
        <w:tabs>
          <w:tab w:val="num" w:pos="2160"/>
        </w:tabs>
        <w:ind w:left="2592" w:hanging="432"/>
      </w:pPr>
      <w:rPr>
        <w:rFonts w:hint="default"/>
        <w:b w:val="0"/>
        <w:i w:val="0"/>
      </w:rPr>
    </w:lvl>
    <w:lvl w:ilvl="4">
      <w:start w:val="1"/>
      <w:numFmt w:val="lowerLetter"/>
      <w:lvlText w:val="%5."/>
      <w:lvlJc w:val="left"/>
      <w:pPr>
        <w:tabs>
          <w:tab w:val="num" w:pos="3096"/>
        </w:tabs>
        <w:ind w:left="3096" w:hanging="504"/>
      </w:pPr>
      <w:rPr>
        <w:rFonts w:hint="default"/>
        <w:b w:val="0"/>
        <w:i w:val="0"/>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
    <w:nsid w:val="14A0041C"/>
    <w:multiLevelType w:val="multilevel"/>
    <w:tmpl w:val="4820673C"/>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note %2:"/>
      <w:lvlJc w:val="left"/>
      <w:pPr>
        <w:tabs>
          <w:tab w:val="num" w:pos="2160"/>
        </w:tabs>
        <w:ind w:left="2160" w:hanging="936"/>
      </w:pPr>
      <w:rPr>
        <w:rFonts w:hint="default"/>
        <w:b w:val="0"/>
        <w:i/>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6100F35"/>
    <w:multiLevelType w:val="multilevel"/>
    <w:tmpl w:val="17F68ADA"/>
    <w:lvl w:ilvl="0">
      <w:start w:val="1"/>
      <w:numFmt w:val="decimal"/>
      <w:lvlText w:val="STEP %1:"/>
      <w:lvlJc w:val="left"/>
      <w:pPr>
        <w:tabs>
          <w:tab w:val="num" w:pos="1080"/>
        </w:tabs>
        <w:ind w:left="1080" w:hanging="1080"/>
      </w:pPr>
      <w:rPr>
        <w:rFonts w:hint="default"/>
        <w:b/>
        <w:i w:val="0"/>
        <w:sz w:val="20"/>
        <w:szCs w:val="20"/>
      </w:rPr>
    </w:lvl>
    <w:lvl w:ilvl="1">
      <w:start w:val="1"/>
      <w:numFmt w:val="lowerLetter"/>
      <w:lvlText w:val="%2."/>
      <w:lvlJc w:val="left"/>
      <w:pPr>
        <w:tabs>
          <w:tab w:val="num" w:pos="1440"/>
        </w:tabs>
        <w:ind w:left="1440"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A002BE9"/>
    <w:multiLevelType w:val="multilevel"/>
    <w:tmpl w:val="2C505512"/>
    <w:lvl w:ilvl="0">
      <w:start w:val="1"/>
      <w:numFmt w:val="decimal"/>
      <w:lvlText w:val="STEP %1:"/>
      <w:lvlJc w:val="left"/>
      <w:pPr>
        <w:tabs>
          <w:tab w:val="num" w:pos="1224"/>
        </w:tabs>
        <w:ind w:left="1224" w:hanging="1224"/>
      </w:pPr>
      <w:rPr>
        <w:rFonts w:hint="default"/>
        <w:b/>
        <w:i w:val="0"/>
        <w:sz w:val="20"/>
        <w:szCs w:val="20"/>
      </w:rPr>
    </w:lvl>
    <w:lvl w:ilvl="1">
      <w:start w:val="1"/>
      <w:numFmt w:val="lowerLetter"/>
      <w:lvlText w:val="%2."/>
      <w:lvlJc w:val="left"/>
      <w:pPr>
        <w:tabs>
          <w:tab w:val="num" w:pos="1800"/>
        </w:tabs>
        <w:ind w:left="1800" w:hanging="576"/>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EA43DA6"/>
    <w:multiLevelType w:val="multilevel"/>
    <w:tmpl w:val="6734A4F0"/>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note %2"/>
      <w:lvlJc w:val="left"/>
      <w:pPr>
        <w:tabs>
          <w:tab w:val="num" w:pos="2160"/>
        </w:tabs>
        <w:ind w:left="2160" w:hanging="936"/>
      </w:pPr>
      <w:rPr>
        <w:rFonts w:hint="default"/>
        <w:b w:val="0"/>
        <w:i/>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1697244"/>
    <w:multiLevelType w:val="singleLevel"/>
    <w:tmpl w:val="D436985A"/>
    <w:lvl w:ilvl="0">
      <w:start w:val="1"/>
      <w:numFmt w:val="decimal"/>
      <w:pStyle w:val="List2"/>
      <w:lvlText w:val="%1."/>
      <w:lvlJc w:val="left"/>
      <w:pPr>
        <w:tabs>
          <w:tab w:val="num" w:pos="360"/>
        </w:tabs>
        <w:ind w:left="360" w:hanging="360"/>
      </w:pPr>
    </w:lvl>
  </w:abstractNum>
  <w:abstractNum w:abstractNumId="9">
    <w:nsid w:val="22FD0813"/>
    <w:multiLevelType w:val="multilevel"/>
    <w:tmpl w:val="5E12751A"/>
    <w:lvl w:ilvl="0">
      <w:start w:val="1"/>
      <w:numFmt w:val="decimal"/>
      <w:lvlText w:val="STEP %1:"/>
      <w:lvlJc w:val="left"/>
      <w:pPr>
        <w:tabs>
          <w:tab w:val="num" w:pos="720"/>
        </w:tabs>
        <w:ind w:left="720" w:hanging="720"/>
      </w:pPr>
      <w:rPr>
        <w:rFonts w:hint="default"/>
        <w:b/>
        <w:i w:val="0"/>
        <w:sz w:val="20"/>
        <w:szCs w:val="20"/>
      </w:rPr>
    </w:lvl>
    <w:lvl w:ilvl="1">
      <w:start w:val="1"/>
      <w:numFmt w:val="lowerLetter"/>
      <w:lvlText w:val="%2."/>
      <w:lvlJc w:val="left"/>
      <w:pPr>
        <w:tabs>
          <w:tab w:val="num" w:pos="1440"/>
        </w:tabs>
        <w:ind w:left="1440"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4E2338D"/>
    <w:multiLevelType w:val="hybridMultilevel"/>
    <w:tmpl w:val="C2A86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0238A"/>
    <w:multiLevelType w:val="multilevel"/>
    <w:tmpl w:val="E0ACC906"/>
    <w:lvl w:ilvl="0">
      <w:start w:val="1"/>
      <w:numFmt w:val="decimal"/>
      <w:lvlText w:val="STEP %1:"/>
      <w:lvlJc w:val="left"/>
      <w:pPr>
        <w:tabs>
          <w:tab w:val="num" w:pos="1224"/>
        </w:tabs>
        <w:ind w:left="1224" w:hanging="1224"/>
      </w:pPr>
      <w:rPr>
        <w:rFonts w:hint="default"/>
        <w:b/>
        <w:i w:val="0"/>
        <w:sz w:val="20"/>
        <w:szCs w:val="20"/>
      </w:rPr>
    </w:lvl>
    <w:lvl w:ilvl="1">
      <w:start w:val="1"/>
      <w:numFmt w:val="lowerLetter"/>
      <w:lvlText w:val="%2."/>
      <w:lvlJc w:val="left"/>
      <w:pPr>
        <w:tabs>
          <w:tab w:val="num" w:pos="1800"/>
        </w:tabs>
        <w:ind w:left="1800"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051461D"/>
    <w:multiLevelType w:val="multilevel"/>
    <w:tmpl w:val="0409001D"/>
    <w:lvl w:ilvl="0">
      <w:start w:val="1"/>
      <w:numFmt w:val="decimal"/>
      <w:lvlText w:val="%1)"/>
      <w:lvlJc w:val="left"/>
      <w:pPr>
        <w:tabs>
          <w:tab w:val="num" w:pos="360"/>
        </w:tabs>
        <w:ind w:left="360" w:hanging="360"/>
      </w:pPr>
      <w:rPr>
        <w:rFonts w:hint="default"/>
        <w:b/>
        <w:i w:val="0"/>
        <w:sz w:val="20"/>
        <w:szCs w:val="20"/>
      </w:rPr>
    </w:lvl>
    <w:lvl w:ilvl="1">
      <w:start w:val="1"/>
      <w:numFmt w:val="lowerLetter"/>
      <w:lvlText w:val="%2)"/>
      <w:lvlJc w:val="left"/>
      <w:pPr>
        <w:tabs>
          <w:tab w:val="num" w:pos="720"/>
        </w:tabs>
        <w:ind w:left="720" w:hanging="36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58B5FD3"/>
    <w:multiLevelType w:val="multilevel"/>
    <w:tmpl w:val="5B5AF1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84"/>
        </w:tabs>
        <w:ind w:left="1584" w:hanging="1584"/>
      </w:pPr>
      <w:rPr>
        <w:rFonts w:hint="default"/>
      </w:rPr>
    </w:lvl>
    <w:lvl w:ilvl="3">
      <w:start w:val="1"/>
      <w:numFmt w:val="decimal"/>
      <w:lvlText w:val="%1.%2.%3.%4"/>
      <w:lvlJc w:val="left"/>
      <w:pPr>
        <w:tabs>
          <w:tab w:val="num" w:pos="1080"/>
        </w:tabs>
        <w:ind w:left="504" w:hanging="504"/>
      </w:pPr>
      <w:rPr>
        <w:rFonts w:hint="default"/>
      </w:rPr>
    </w:lvl>
    <w:lvl w:ilvl="4">
      <w:start w:val="1"/>
      <w:numFmt w:val="decimal"/>
      <w:lvlText w:val="%1.%2.%3.%4.%5"/>
      <w:lvlJc w:val="left"/>
      <w:pPr>
        <w:tabs>
          <w:tab w:val="num" w:pos="720"/>
        </w:tabs>
        <w:ind w:left="360" w:hanging="360"/>
      </w:pPr>
      <w:rPr>
        <w:rFonts w:hint="default"/>
      </w:rPr>
    </w:lvl>
    <w:lvl w:ilvl="5">
      <w:start w:val="1"/>
      <w:numFmt w:val="decimal"/>
      <w:lvlText w:val="%1.%2.%3.%4.%5.%6"/>
      <w:lvlJc w:val="left"/>
      <w:pPr>
        <w:tabs>
          <w:tab w:val="num" w:pos="1440"/>
        </w:tabs>
        <w:ind w:left="504" w:hanging="504"/>
      </w:pPr>
      <w:rPr>
        <w:rFonts w:hint="default"/>
      </w:rPr>
    </w:lvl>
    <w:lvl w:ilvl="6">
      <w:start w:val="1"/>
      <w:numFmt w:val="decimal"/>
      <w:pStyle w:val="Heading7"/>
      <w:lvlText w:val="%1.%2.%3.%4.%5.%6.%7"/>
      <w:lvlJc w:val="left"/>
      <w:pPr>
        <w:tabs>
          <w:tab w:val="num" w:pos="1440"/>
        </w:tabs>
        <w:ind w:left="504" w:hanging="504"/>
      </w:pPr>
      <w:rPr>
        <w:rFonts w:hint="default"/>
      </w:rPr>
    </w:lvl>
    <w:lvl w:ilvl="7">
      <w:start w:val="1"/>
      <w:numFmt w:val="decimal"/>
      <w:pStyle w:val="Heading8"/>
      <w:lvlText w:val="%1.%2.%3.%4.%5.%6.%7.%8"/>
      <w:lvlJc w:val="left"/>
      <w:pPr>
        <w:tabs>
          <w:tab w:val="num" w:pos="1800"/>
        </w:tabs>
        <w:ind w:left="504" w:hanging="504"/>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A4E031F"/>
    <w:multiLevelType w:val="multilevel"/>
    <w:tmpl w:val="9A3C7DB6"/>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Tip %2"/>
      <w:lvlJc w:val="left"/>
      <w:pPr>
        <w:tabs>
          <w:tab w:val="num" w:pos="2160"/>
        </w:tabs>
        <w:ind w:left="2160" w:hanging="936"/>
      </w:pPr>
      <w:rPr>
        <w:rFonts w:hint="default"/>
        <w:b w:val="0"/>
        <w:i/>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F933A13"/>
    <w:multiLevelType w:val="hybridMultilevel"/>
    <w:tmpl w:val="71A4022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3FF37BF5"/>
    <w:multiLevelType w:val="multilevel"/>
    <w:tmpl w:val="CE02DC14"/>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Tip %2"/>
      <w:lvlJc w:val="left"/>
      <w:pPr>
        <w:tabs>
          <w:tab w:val="num" w:pos="2160"/>
        </w:tabs>
        <w:ind w:left="2160" w:hanging="936"/>
      </w:pPr>
      <w:rPr>
        <w:rFonts w:hint="default"/>
        <w:b w:val="0"/>
        <w:i/>
        <w:sz w:val="20"/>
        <w:szCs w:val="20"/>
      </w:rPr>
    </w:lvl>
    <w:lvl w:ilvl="2">
      <w:start w:val="1"/>
      <w:numFmt w:val="decimal"/>
      <w:lvlText w:val="%3)"/>
      <w:lvlJc w:val="left"/>
      <w:pPr>
        <w:tabs>
          <w:tab w:val="num" w:pos="2376"/>
        </w:tabs>
        <w:ind w:left="2880" w:hanging="72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EA180B"/>
    <w:multiLevelType w:val="multilevel"/>
    <w:tmpl w:val="09BCCB72"/>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Tip %2"/>
      <w:lvlJc w:val="left"/>
      <w:pPr>
        <w:tabs>
          <w:tab w:val="num" w:pos="2160"/>
        </w:tabs>
        <w:ind w:left="2160" w:hanging="936"/>
      </w:pPr>
      <w:rPr>
        <w:rFonts w:hint="default"/>
        <w:b w:val="0"/>
        <w:i/>
        <w:sz w:val="20"/>
        <w:szCs w:val="20"/>
      </w:rPr>
    </w:lvl>
    <w:lvl w:ilvl="2">
      <w:start w:val="1"/>
      <w:numFmt w:val="decimal"/>
      <w:lvlText w:val="%3)"/>
      <w:lvlJc w:val="left"/>
      <w:pPr>
        <w:tabs>
          <w:tab w:val="num" w:pos="2376"/>
        </w:tabs>
        <w:ind w:left="2376" w:hanging="216"/>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5F51908"/>
    <w:multiLevelType w:val="multilevel"/>
    <w:tmpl w:val="78943460"/>
    <w:lvl w:ilvl="0">
      <w:start w:val="1"/>
      <w:numFmt w:val="upperLetter"/>
      <w:lvlText w:val="%1."/>
      <w:lvlJc w:val="left"/>
      <w:pPr>
        <w:tabs>
          <w:tab w:val="num" w:pos="720"/>
        </w:tabs>
        <w:ind w:left="720" w:hanging="720"/>
      </w:pPr>
      <w:rPr>
        <w:rFonts w:hint="default"/>
        <w:b/>
        <w:i w:val="0"/>
        <w:sz w:val="20"/>
        <w:szCs w:val="20"/>
      </w:rPr>
    </w:lvl>
    <w:lvl w:ilvl="1">
      <w:start w:val="1"/>
      <w:numFmt w:val="decimal"/>
      <w:lvlText w:val="%2."/>
      <w:lvlJc w:val="left"/>
      <w:pPr>
        <w:tabs>
          <w:tab w:val="num" w:pos="720"/>
        </w:tabs>
        <w:ind w:left="1368" w:hanging="576"/>
      </w:pPr>
      <w:rPr>
        <w:rFonts w:hint="default"/>
        <w:b w:val="0"/>
        <w:i w:val="0"/>
        <w:sz w:val="20"/>
        <w:szCs w:val="20"/>
      </w:rPr>
    </w:lvl>
    <w:lvl w:ilvl="2">
      <w:start w:val="1"/>
      <w:numFmt w:val="lowerLetter"/>
      <w:lvlText w:val="%3."/>
      <w:lvlJc w:val="right"/>
      <w:pPr>
        <w:tabs>
          <w:tab w:val="num" w:pos="1440"/>
        </w:tabs>
        <w:ind w:left="2160" w:hanging="576"/>
      </w:pPr>
      <w:rPr>
        <w:rFonts w:hint="default"/>
        <w:b w:val="0"/>
        <w:i w:val="0"/>
      </w:rPr>
    </w:lvl>
    <w:lvl w:ilvl="3">
      <w:start w:val="1"/>
      <w:numFmt w:val="decimal"/>
      <w:lvlText w:val="%4."/>
      <w:lvlJc w:val="left"/>
      <w:pPr>
        <w:tabs>
          <w:tab w:val="num" w:pos="2160"/>
        </w:tabs>
        <w:ind w:left="2592" w:hanging="432"/>
      </w:pPr>
      <w:rPr>
        <w:rFonts w:hint="default"/>
        <w:b w:val="0"/>
        <w:i w:val="0"/>
      </w:rPr>
    </w:lvl>
    <w:lvl w:ilvl="4">
      <w:start w:val="1"/>
      <w:numFmt w:val="lowerLetter"/>
      <w:lvlText w:val="%5."/>
      <w:lvlJc w:val="left"/>
      <w:pPr>
        <w:tabs>
          <w:tab w:val="num" w:pos="3096"/>
        </w:tabs>
        <w:ind w:left="3096" w:hanging="504"/>
      </w:pPr>
      <w:rPr>
        <w:rFonts w:hint="default"/>
        <w:b w:val="0"/>
        <w:i w:val="0"/>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9">
    <w:nsid w:val="4757050A"/>
    <w:multiLevelType w:val="multilevel"/>
    <w:tmpl w:val="C6265244"/>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Tip %2"/>
      <w:lvlJc w:val="left"/>
      <w:pPr>
        <w:tabs>
          <w:tab w:val="num" w:pos="2160"/>
        </w:tabs>
        <w:ind w:left="2160" w:hanging="936"/>
      </w:pPr>
      <w:rPr>
        <w:rFonts w:hint="default"/>
        <w:b w:val="0"/>
        <w:i/>
        <w:sz w:val="20"/>
        <w:szCs w:val="20"/>
      </w:rPr>
    </w:lvl>
    <w:lvl w:ilvl="2">
      <w:start w:val="1"/>
      <w:numFmt w:val="decimal"/>
      <w:lvlText w:val="%3)"/>
      <w:lvlJc w:val="left"/>
      <w:pPr>
        <w:tabs>
          <w:tab w:val="num" w:pos="2376"/>
        </w:tabs>
        <w:ind w:left="2376" w:hanging="216"/>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821590D"/>
    <w:multiLevelType w:val="hybridMultilevel"/>
    <w:tmpl w:val="41363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81999"/>
    <w:multiLevelType w:val="hybridMultilevel"/>
    <w:tmpl w:val="E6F27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3B1DEC"/>
    <w:multiLevelType w:val="multilevel"/>
    <w:tmpl w:val="85241752"/>
    <w:lvl w:ilvl="0">
      <w:start w:val="1"/>
      <w:numFmt w:val="upperLetter"/>
      <w:pStyle w:val="AppHeading1"/>
      <w:lvlText w:val="Appendix %1"/>
      <w:lvlJc w:val="left"/>
      <w:pPr>
        <w:tabs>
          <w:tab w:val="num" w:pos="1800"/>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504" w:hanging="504"/>
      </w:pPr>
      <w:rPr>
        <w:rFonts w:hint="default"/>
      </w:rPr>
    </w:lvl>
    <w:lvl w:ilvl="4">
      <w:start w:val="1"/>
      <w:numFmt w:val="decimal"/>
      <w:lvlText w:val="%1.%2.%3.%4.%5"/>
      <w:lvlJc w:val="left"/>
      <w:pPr>
        <w:tabs>
          <w:tab w:val="num" w:pos="1080"/>
        </w:tabs>
        <w:ind w:left="936" w:hanging="93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327BCF"/>
    <w:multiLevelType w:val="multilevel"/>
    <w:tmpl w:val="59DE19F4"/>
    <w:lvl w:ilvl="0">
      <w:start w:val="1"/>
      <w:numFmt w:val="decimal"/>
      <w:lvlText w:val="STEP %1:"/>
      <w:lvlJc w:val="left"/>
      <w:pPr>
        <w:tabs>
          <w:tab w:val="num" w:pos="1080"/>
        </w:tabs>
        <w:ind w:left="1080" w:hanging="1080"/>
      </w:pPr>
      <w:rPr>
        <w:rFonts w:hint="default"/>
        <w:b/>
        <w:i w:val="0"/>
        <w:sz w:val="20"/>
        <w:szCs w:val="20"/>
      </w:rPr>
    </w:lvl>
    <w:lvl w:ilvl="1">
      <w:start w:val="1"/>
      <w:numFmt w:val="lowerLetter"/>
      <w:lvlText w:val="%2."/>
      <w:lvlJc w:val="left"/>
      <w:pPr>
        <w:tabs>
          <w:tab w:val="num" w:pos="1800"/>
        </w:tabs>
        <w:ind w:left="1800"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84179A9"/>
    <w:multiLevelType w:val="multilevel"/>
    <w:tmpl w:val="B95C8418"/>
    <w:lvl w:ilvl="0">
      <w:start w:val="1"/>
      <w:numFmt w:val="decimal"/>
      <w:lvlText w:val="STEP %1:"/>
      <w:lvlJc w:val="left"/>
      <w:pPr>
        <w:tabs>
          <w:tab w:val="num" w:pos="1224"/>
        </w:tabs>
        <w:ind w:left="1224" w:hanging="1224"/>
      </w:pPr>
      <w:rPr>
        <w:rFonts w:hint="default"/>
        <w:b/>
        <w:i w:val="0"/>
        <w:sz w:val="20"/>
        <w:szCs w:val="20"/>
      </w:rPr>
    </w:lvl>
    <w:lvl w:ilvl="1">
      <w:start w:val="1"/>
      <w:numFmt w:val="none"/>
      <w:lvlText w:val="note:"/>
      <w:lvlJc w:val="left"/>
      <w:pPr>
        <w:tabs>
          <w:tab w:val="num" w:pos="1800"/>
        </w:tabs>
        <w:ind w:left="1800" w:hanging="576"/>
      </w:pPr>
      <w:rPr>
        <w:rFonts w:hint="default"/>
        <w:b w:val="0"/>
        <w:i/>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C92224C"/>
    <w:multiLevelType w:val="hybridMultilevel"/>
    <w:tmpl w:val="89064AA4"/>
    <w:lvl w:ilvl="0" w:tplc="3A8A2950">
      <w:start w:val="1"/>
      <w:numFmt w:val="bullet"/>
      <w:lvlText w:val=""/>
      <w:lvlJc w:val="left"/>
      <w:pPr>
        <w:tabs>
          <w:tab w:val="num" w:pos="792"/>
        </w:tabs>
        <w:ind w:left="792" w:hanging="216"/>
      </w:pPr>
      <w:rPr>
        <w:rFonts w:ascii="Wingdings" w:hAnsi="Wingdings" w:hint="default"/>
        <w:b w:val="0"/>
        <w:i w:val="0"/>
      </w:rPr>
    </w:lvl>
    <w:lvl w:ilvl="1" w:tplc="D876C282">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45C6880"/>
    <w:multiLevelType w:val="multilevel"/>
    <w:tmpl w:val="2CF416A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080"/>
        </w:tabs>
        <w:ind w:left="504" w:hanging="504"/>
      </w:pPr>
      <w:rPr>
        <w:rFonts w:hint="default"/>
      </w:rPr>
    </w:lvl>
    <w:lvl w:ilvl="4">
      <w:start w:val="1"/>
      <w:numFmt w:val="decimal"/>
      <w:lvlText w:val="%1.%2.%3.%4.%5"/>
      <w:lvlJc w:val="left"/>
      <w:pPr>
        <w:tabs>
          <w:tab w:val="num" w:pos="1080"/>
        </w:tabs>
        <w:ind w:left="504" w:hanging="50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160"/>
        </w:tabs>
        <w:ind w:left="504" w:hanging="504"/>
      </w:pPr>
      <w:rPr>
        <w:rFonts w:hint="default"/>
      </w:rPr>
    </w:lvl>
  </w:abstractNum>
  <w:abstractNum w:abstractNumId="27">
    <w:nsid w:val="698551FD"/>
    <w:multiLevelType w:val="multilevel"/>
    <w:tmpl w:val="B176676A"/>
    <w:lvl w:ilvl="0">
      <w:start w:val="1"/>
      <w:numFmt w:val="decimal"/>
      <w:lvlText w:val="STEP %1:"/>
      <w:lvlJc w:val="left"/>
      <w:pPr>
        <w:tabs>
          <w:tab w:val="num" w:pos="1224"/>
        </w:tabs>
        <w:ind w:left="1224" w:hanging="1224"/>
      </w:pPr>
      <w:rPr>
        <w:rFonts w:hint="default"/>
        <w:b/>
        <w:i w:val="0"/>
        <w:sz w:val="20"/>
        <w:szCs w:val="20"/>
      </w:rPr>
    </w:lvl>
    <w:lvl w:ilvl="1">
      <w:start w:val="1"/>
      <w:numFmt w:val="decimal"/>
      <w:lvlText w:val="note %2:"/>
      <w:lvlJc w:val="left"/>
      <w:pPr>
        <w:tabs>
          <w:tab w:val="num" w:pos="1944"/>
        </w:tabs>
        <w:ind w:left="1944" w:hanging="720"/>
      </w:pPr>
      <w:rPr>
        <w:rFonts w:hint="default"/>
        <w:b w:val="0"/>
        <w:i/>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D616409"/>
    <w:multiLevelType w:val="multilevel"/>
    <w:tmpl w:val="D17C05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6E0E5A3E"/>
    <w:multiLevelType w:val="multilevel"/>
    <w:tmpl w:val="75443442"/>
    <w:lvl w:ilvl="0">
      <w:start w:val="1"/>
      <w:numFmt w:val="decimal"/>
      <w:lvlText w:val="%1."/>
      <w:lvlJc w:val="left"/>
      <w:pPr>
        <w:tabs>
          <w:tab w:val="num" w:pos="720"/>
        </w:tabs>
        <w:ind w:left="720" w:hanging="720"/>
      </w:pPr>
      <w:rPr>
        <w:rFonts w:hint="default"/>
        <w:b/>
        <w:i w:val="0"/>
        <w:sz w:val="20"/>
        <w:szCs w:val="20"/>
      </w:rPr>
    </w:lvl>
    <w:lvl w:ilvl="1">
      <w:start w:val="1"/>
      <w:numFmt w:val="lowerLetter"/>
      <w:lvlText w:val="%2."/>
      <w:lvlJc w:val="left"/>
      <w:pPr>
        <w:tabs>
          <w:tab w:val="num" w:pos="1080"/>
        </w:tabs>
        <w:ind w:left="1080"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5976E00"/>
    <w:multiLevelType w:val="hybridMultilevel"/>
    <w:tmpl w:val="85E2B8B0"/>
    <w:lvl w:ilvl="0" w:tplc="C124F728">
      <w:start w:val="1"/>
      <w:numFmt w:val="decimal"/>
      <w:lvlText w:val="%1."/>
      <w:lvlJc w:val="left"/>
      <w:pPr>
        <w:tabs>
          <w:tab w:val="num" w:pos="576"/>
        </w:tabs>
        <w:ind w:left="576" w:hanging="576"/>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62C4559"/>
    <w:multiLevelType w:val="multilevel"/>
    <w:tmpl w:val="85F6D2A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ADD51FB"/>
    <w:multiLevelType w:val="multilevel"/>
    <w:tmpl w:val="E404FE3E"/>
    <w:lvl w:ilvl="0">
      <w:start w:val="1"/>
      <w:numFmt w:val="decimal"/>
      <w:lvlText w:val="STEP %1:"/>
      <w:lvlJc w:val="left"/>
      <w:pPr>
        <w:tabs>
          <w:tab w:val="num" w:pos="1224"/>
        </w:tabs>
        <w:ind w:left="1224" w:hanging="1224"/>
      </w:pPr>
      <w:rPr>
        <w:rFonts w:hint="default"/>
        <w:b/>
        <w:i w:val="0"/>
        <w:sz w:val="20"/>
        <w:szCs w:val="20"/>
      </w:rPr>
    </w:lvl>
    <w:lvl w:ilvl="1">
      <w:start w:val="1"/>
      <w:numFmt w:val="lowerLetter"/>
      <w:lvlText w:val="%2."/>
      <w:lvlJc w:val="left"/>
      <w:pPr>
        <w:tabs>
          <w:tab w:val="num" w:pos="1944"/>
        </w:tabs>
        <w:ind w:left="1944" w:hanging="720"/>
      </w:pPr>
      <w:rPr>
        <w:rFonts w:hint="default"/>
        <w:b w:val="0"/>
        <w:i w:val="0"/>
        <w:sz w:val="20"/>
        <w:szCs w:val="2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BA41FA2"/>
    <w:multiLevelType w:val="singleLevel"/>
    <w:tmpl w:val="2328187C"/>
    <w:lvl w:ilvl="0">
      <w:start w:val="1"/>
      <w:numFmt w:val="bullet"/>
      <w:pStyle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33"/>
  </w:num>
  <w:num w:numId="4">
    <w:abstractNumId w:val="8"/>
  </w:num>
  <w:num w:numId="5">
    <w:abstractNumId w:val="28"/>
  </w:num>
  <w:num w:numId="6">
    <w:abstractNumId w:val="22"/>
  </w:num>
  <w:num w:numId="7">
    <w:abstractNumId w:val="31"/>
  </w:num>
  <w:num w:numId="8">
    <w:abstractNumId w:val="16"/>
  </w:num>
  <w:num w:numId="9">
    <w:abstractNumId w:val="3"/>
  </w:num>
  <w:num w:numId="10">
    <w:abstractNumId w:val="18"/>
  </w:num>
  <w:num w:numId="11">
    <w:abstractNumId w:val="12"/>
  </w:num>
  <w:num w:numId="12">
    <w:abstractNumId w:val="2"/>
  </w:num>
  <w:num w:numId="13">
    <w:abstractNumId w:val="29"/>
  </w:num>
  <w:num w:numId="14">
    <w:abstractNumId w:val="0"/>
  </w:num>
  <w:num w:numId="15">
    <w:abstractNumId w:val="9"/>
  </w:num>
  <w:num w:numId="16">
    <w:abstractNumId w:val="5"/>
  </w:num>
  <w:num w:numId="17">
    <w:abstractNumId w:val="23"/>
  </w:num>
  <w:num w:numId="18">
    <w:abstractNumId w:val="11"/>
  </w:num>
  <w:num w:numId="19">
    <w:abstractNumId w:val="32"/>
  </w:num>
  <w:num w:numId="20">
    <w:abstractNumId w:val="6"/>
  </w:num>
  <w:num w:numId="21">
    <w:abstractNumId w:val="24"/>
  </w:num>
  <w:num w:numId="22">
    <w:abstractNumId w:val="27"/>
  </w:num>
  <w:num w:numId="23">
    <w:abstractNumId w:val="4"/>
  </w:num>
  <w:num w:numId="24">
    <w:abstractNumId w:val="7"/>
  </w:num>
  <w:num w:numId="25">
    <w:abstractNumId w:val="14"/>
  </w:num>
  <w:num w:numId="26">
    <w:abstractNumId w:val="17"/>
  </w:num>
  <w:num w:numId="27">
    <w:abstractNumId w:val="19"/>
  </w:num>
  <w:num w:numId="28">
    <w:abstractNumId w:val="20"/>
  </w:num>
  <w:num w:numId="29">
    <w:abstractNumId w:val="21"/>
  </w:num>
  <w:num w:numId="30">
    <w:abstractNumId w:val="1"/>
  </w:num>
  <w:num w:numId="31">
    <w:abstractNumId w:val="30"/>
  </w:num>
  <w:num w:numId="32">
    <w:abstractNumId w:val="25"/>
  </w:num>
  <w:num w:numId="33">
    <w:abstractNumId w:val="15"/>
  </w:num>
  <w:num w:numId="34">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303A6C"/>
    <w:rsid w:val="00004F79"/>
    <w:rsid w:val="000229CF"/>
    <w:rsid w:val="00030ADF"/>
    <w:rsid w:val="00042A46"/>
    <w:rsid w:val="0006333E"/>
    <w:rsid w:val="00064C41"/>
    <w:rsid w:val="0007167F"/>
    <w:rsid w:val="00077DA6"/>
    <w:rsid w:val="00085735"/>
    <w:rsid w:val="0009262E"/>
    <w:rsid w:val="0009636B"/>
    <w:rsid w:val="000A494E"/>
    <w:rsid w:val="000B3346"/>
    <w:rsid w:val="000C52D5"/>
    <w:rsid w:val="000C6603"/>
    <w:rsid w:val="000D1E73"/>
    <w:rsid w:val="000D4295"/>
    <w:rsid w:val="000E1BAA"/>
    <w:rsid w:val="000E38B8"/>
    <w:rsid w:val="00123A66"/>
    <w:rsid w:val="00146A78"/>
    <w:rsid w:val="001507AC"/>
    <w:rsid w:val="0017293C"/>
    <w:rsid w:val="00190304"/>
    <w:rsid w:val="00191A6B"/>
    <w:rsid w:val="00194073"/>
    <w:rsid w:val="001B1EEE"/>
    <w:rsid w:val="001B2A89"/>
    <w:rsid w:val="001B357B"/>
    <w:rsid w:val="001B4E72"/>
    <w:rsid w:val="001C7648"/>
    <w:rsid w:val="00207184"/>
    <w:rsid w:val="00216440"/>
    <w:rsid w:val="00240357"/>
    <w:rsid w:val="002430C2"/>
    <w:rsid w:val="00280095"/>
    <w:rsid w:val="002832F3"/>
    <w:rsid w:val="00292B78"/>
    <w:rsid w:val="002A1E8F"/>
    <w:rsid w:val="002A234A"/>
    <w:rsid w:val="002A4AAB"/>
    <w:rsid w:val="002B124D"/>
    <w:rsid w:val="002B67C9"/>
    <w:rsid w:val="002C2A34"/>
    <w:rsid w:val="002C6FFE"/>
    <w:rsid w:val="002E3263"/>
    <w:rsid w:val="002E4EBA"/>
    <w:rsid w:val="002F237C"/>
    <w:rsid w:val="00303A6C"/>
    <w:rsid w:val="00313FE1"/>
    <w:rsid w:val="00324A1D"/>
    <w:rsid w:val="00325D19"/>
    <w:rsid w:val="003461A4"/>
    <w:rsid w:val="00355545"/>
    <w:rsid w:val="00371ED4"/>
    <w:rsid w:val="00377FAA"/>
    <w:rsid w:val="00383AA0"/>
    <w:rsid w:val="00387E94"/>
    <w:rsid w:val="003A5A2D"/>
    <w:rsid w:val="003B5965"/>
    <w:rsid w:val="003C0B4C"/>
    <w:rsid w:val="003D2510"/>
    <w:rsid w:val="003D4BD4"/>
    <w:rsid w:val="003F0D62"/>
    <w:rsid w:val="003F6E77"/>
    <w:rsid w:val="00411AD3"/>
    <w:rsid w:val="00424435"/>
    <w:rsid w:val="004363B3"/>
    <w:rsid w:val="00454695"/>
    <w:rsid w:val="00461F6A"/>
    <w:rsid w:val="00492C50"/>
    <w:rsid w:val="0049710A"/>
    <w:rsid w:val="004B66B0"/>
    <w:rsid w:val="004B71B8"/>
    <w:rsid w:val="004B7F2B"/>
    <w:rsid w:val="004C10D7"/>
    <w:rsid w:val="004C1CC5"/>
    <w:rsid w:val="004D2271"/>
    <w:rsid w:val="00510D50"/>
    <w:rsid w:val="00527534"/>
    <w:rsid w:val="005455BD"/>
    <w:rsid w:val="00550AB2"/>
    <w:rsid w:val="005704C3"/>
    <w:rsid w:val="00576371"/>
    <w:rsid w:val="005E4C18"/>
    <w:rsid w:val="005E61FE"/>
    <w:rsid w:val="005F34C7"/>
    <w:rsid w:val="005F763B"/>
    <w:rsid w:val="00612FF9"/>
    <w:rsid w:val="00620F5C"/>
    <w:rsid w:val="0062460E"/>
    <w:rsid w:val="00663667"/>
    <w:rsid w:val="0067102D"/>
    <w:rsid w:val="006777F3"/>
    <w:rsid w:val="0069095B"/>
    <w:rsid w:val="0069185F"/>
    <w:rsid w:val="00693067"/>
    <w:rsid w:val="006933CF"/>
    <w:rsid w:val="00693A19"/>
    <w:rsid w:val="006A1643"/>
    <w:rsid w:val="006D5737"/>
    <w:rsid w:val="006D59DF"/>
    <w:rsid w:val="00700176"/>
    <w:rsid w:val="00712C99"/>
    <w:rsid w:val="007220C6"/>
    <w:rsid w:val="0075635F"/>
    <w:rsid w:val="0076323E"/>
    <w:rsid w:val="00765FB3"/>
    <w:rsid w:val="00767A70"/>
    <w:rsid w:val="00773E4E"/>
    <w:rsid w:val="00793223"/>
    <w:rsid w:val="007A6F22"/>
    <w:rsid w:val="007A7E3A"/>
    <w:rsid w:val="007D2EB1"/>
    <w:rsid w:val="007F16F9"/>
    <w:rsid w:val="008071A9"/>
    <w:rsid w:val="00812592"/>
    <w:rsid w:val="0082147D"/>
    <w:rsid w:val="0082771C"/>
    <w:rsid w:val="00831388"/>
    <w:rsid w:val="008345AB"/>
    <w:rsid w:val="00843496"/>
    <w:rsid w:val="00855153"/>
    <w:rsid w:val="00865240"/>
    <w:rsid w:val="00872A2C"/>
    <w:rsid w:val="00885699"/>
    <w:rsid w:val="008B0886"/>
    <w:rsid w:val="008B362A"/>
    <w:rsid w:val="008B5F68"/>
    <w:rsid w:val="008E2A11"/>
    <w:rsid w:val="008E6BE7"/>
    <w:rsid w:val="008F11A3"/>
    <w:rsid w:val="008F4502"/>
    <w:rsid w:val="008F498A"/>
    <w:rsid w:val="008F7B84"/>
    <w:rsid w:val="00907092"/>
    <w:rsid w:val="00907ADB"/>
    <w:rsid w:val="009123D1"/>
    <w:rsid w:val="00914E92"/>
    <w:rsid w:val="00970E75"/>
    <w:rsid w:val="00982337"/>
    <w:rsid w:val="009A7002"/>
    <w:rsid w:val="009C4870"/>
    <w:rsid w:val="009C5272"/>
    <w:rsid w:val="009E5E18"/>
    <w:rsid w:val="00A02D46"/>
    <w:rsid w:val="00A162CF"/>
    <w:rsid w:val="00A40F44"/>
    <w:rsid w:val="00A55FF6"/>
    <w:rsid w:val="00A81F1C"/>
    <w:rsid w:val="00A95CD8"/>
    <w:rsid w:val="00AB6C3D"/>
    <w:rsid w:val="00AC468F"/>
    <w:rsid w:val="00AC59ED"/>
    <w:rsid w:val="00AF6085"/>
    <w:rsid w:val="00B218A7"/>
    <w:rsid w:val="00B255E2"/>
    <w:rsid w:val="00B35E9F"/>
    <w:rsid w:val="00B36186"/>
    <w:rsid w:val="00B370A6"/>
    <w:rsid w:val="00B46243"/>
    <w:rsid w:val="00B47BB4"/>
    <w:rsid w:val="00B6083B"/>
    <w:rsid w:val="00B7082E"/>
    <w:rsid w:val="00B7500D"/>
    <w:rsid w:val="00B91882"/>
    <w:rsid w:val="00B9346C"/>
    <w:rsid w:val="00BA5ADB"/>
    <w:rsid w:val="00BB66C0"/>
    <w:rsid w:val="00BC2A3F"/>
    <w:rsid w:val="00BE120B"/>
    <w:rsid w:val="00BE4F31"/>
    <w:rsid w:val="00C052CC"/>
    <w:rsid w:val="00C055A8"/>
    <w:rsid w:val="00C1670C"/>
    <w:rsid w:val="00C32F0B"/>
    <w:rsid w:val="00C429AD"/>
    <w:rsid w:val="00C50490"/>
    <w:rsid w:val="00C93A3E"/>
    <w:rsid w:val="00CA243A"/>
    <w:rsid w:val="00CA4391"/>
    <w:rsid w:val="00CA643B"/>
    <w:rsid w:val="00CB4B84"/>
    <w:rsid w:val="00CE49E2"/>
    <w:rsid w:val="00D029BB"/>
    <w:rsid w:val="00D248D6"/>
    <w:rsid w:val="00D26101"/>
    <w:rsid w:val="00D3116E"/>
    <w:rsid w:val="00D33CF2"/>
    <w:rsid w:val="00D64982"/>
    <w:rsid w:val="00D73CB1"/>
    <w:rsid w:val="00D7496A"/>
    <w:rsid w:val="00DA5462"/>
    <w:rsid w:val="00DA56CE"/>
    <w:rsid w:val="00DC06ED"/>
    <w:rsid w:val="00DC5345"/>
    <w:rsid w:val="00DE58CF"/>
    <w:rsid w:val="00DE7856"/>
    <w:rsid w:val="00E25B84"/>
    <w:rsid w:val="00E3250D"/>
    <w:rsid w:val="00E33203"/>
    <w:rsid w:val="00E51DE6"/>
    <w:rsid w:val="00E73A4D"/>
    <w:rsid w:val="00E9189B"/>
    <w:rsid w:val="00EB549D"/>
    <w:rsid w:val="00EC08ED"/>
    <w:rsid w:val="00ED6E67"/>
    <w:rsid w:val="00EF57C3"/>
    <w:rsid w:val="00F3051B"/>
    <w:rsid w:val="00F46CC0"/>
    <w:rsid w:val="00F51E7B"/>
    <w:rsid w:val="00F57F1C"/>
    <w:rsid w:val="00F74889"/>
    <w:rsid w:val="00F94E4C"/>
    <w:rsid w:val="00FA6943"/>
    <w:rsid w:val="00FB05A6"/>
    <w:rsid w:val="00FB5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49D"/>
    <w:rPr>
      <w:rFonts w:ascii="Verdana" w:hAnsi="Verdana"/>
    </w:rPr>
  </w:style>
  <w:style w:type="paragraph" w:styleId="Heading1">
    <w:name w:val="heading 1"/>
    <w:basedOn w:val="Normal"/>
    <w:next w:val="BodyText"/>
    <w:link w:val="Heading1Char"/>
    <w:qFormat/>
    <w:rsid w:val="00EB549D"/>
    <w:pPr>
      <w:keepNext/>
      <w:numPr>
        <w:numId w:val="7"/>
      </w:numPr>
      <w:spacing w:before="120" w:after="120"/>
      <w:outlineLvl w:val="0"/>
    </w:pPr>
    <w:rPr>
      <w:caps/>
      <w:sz w:val="28"/>
    </w:rPr>
  </w:style>
  <w:style w:type="paragraph" w:styleId="Heading2">
    <w:name w:val="heading 2"/>
    <w:basedOn w:val="Normal"/>
    <w:next w:val="BodyText"/>
    <w:qFormat/>
    <w:rsid w:val="00EB549D"/>
    <w:pPr>
      <w:keepNext/>
      <w:numPr>
        <w:ilvl w:val="1"/>
        <w:numId w:val="7"/>
      </w:numPr>
      <w:spacing w:before="120" w:after="120"/>
      <w:outlineLvl w:val="1"/>
    </w:pPr>
    <w:rPr>
      <w:b/>
      <w:sz w:val="24"/>
    </w:rPr>
  </w:style>
  <w:style w:type="paragraph" w:styleId="Heading3">
    <w:name w:val="heading 3"/>
    <w:basedOn w:val="Normal"/>
    <w:next w:val="BodyText"/>
    <w:qFormat/>
    <w:rsid w:val="00EB549D"/>
    <w:pPr>
      <w:keepNext/>
      <w:numPr>
        <w:ilvl w:val="2"/>
        <w:numId w:val="7"/>
      </w:numPr>
      <w:spacing w:before="120" w:after="120"/>
      <w:outlineLvl w:val="2"/>
    </w:pPr>
  </w:style>
  <w:style w:type="paragraph" w:styleId="Heading4">
    <w:name w:val="heading 4"/>
    <w:basedOn w:val="Normal"/>
    <w:next w:val="Normal"/>
    <w:qFormat/>
    <w:rsid w:val="00EB549D"/>
    <w:pPr>
      <w:keepNext/>
      <w:numPr>
        <w:ilvl w:val="3"/>
        <w:numId w:val="7"/>
      </w:numPr>
      <w:spacing w:before="120" w:after="120"/>
      <w:outlineLvl w:val="3"/>
    </w:pPr>
  </w:style>
  <w:style w:type="paragraph" w:styleId="Heading5">
    <w:name w:val="heading 5"/>
    <w:basedOn w:val="Normal"/>
    <w:next w:val="Normal"/>
    <w:qFormat/>
    <w:rsid w:val="00EB549D"/>
    <w:pPr>
      <w:keepNext/>
      <w:numPr>
        <w:ilvl w:val="4"/>
        <w:numId w:val="7"/>
      </w:numPr>
      <w:spacing w:before="120" w:after="120"/>
      <w:outlineLvl w:val="4"/>
    </w:pPr>
  </w:style>
  <w:style w:type="paragraph" w:styleId="Heading6">
    <w:name w:val="heading 6"/>
    <w:basedOn w:val="Normal"/>
    <w:next w:val="Normal"/>
    <w:qFormat/>
    <w:rsid w:val="00EB549D"/>
    <w:pPr>
      <w:numPr>
        <w:ilvl w:val="5"/>
        <w:numId w:val="7"/>
      </w:numPr>
      <w:spacing w:before="120" w:after="120"/>
      <w:outlineLvl w:val="5"/>
    </w:pPr>
  </w:style>
  <w:style w:type="paragraph" w:styleId="Heading7">
    <w:name w:val="heading 7"/>
    <w:basedOn w:val="Normal"/>
    <w:next w:val="Normal"/>
    <w:qFormat/>
    <w:rsid w:val="00EB549D"/>
    <w:pPr>
      <w:numPr>
        <w:ilvl w:val="6"/>
        <w:numId w:val="1"/>
      </w:numPr>
      <w:tabs>
        <w:tab w:val="clear" w:pos="1440"/>
      </w:tabs>
      <w:spacing w:before="120" w:after="120"/>
      <w:outlineLvl w:val="6"/>
    </w:pPr>
  </w:style>
  <w:style w:type="paragraph" w:styleId="Heading8">
    <w:name w:val="heading 8"/>
    <w:basedOn w:val="Normal"/>
    <w:next w:val="Normal"/>
    <w:qFormat/>
    <w:rsid w:val="00EB549D"/>
    <w:pPr>
      <w:numPr>
        <w:ilvl w:val="7"/>
        <w:numId w:val="1"/>
      </w:numPr>
      <w:tabs>
        <w:tab w:val="clear" w:pos="1800"/>
      </w:tabs>
      <w:spacing w:before="120" w:after="120"/>
      <w:outlineLvl w:val="7"/>
    </w:pPr>
  </w:style>
  <w:style w:type="paragraph" w:styleId="Heading9">
    <w:name w:val="heading 9"/>
    <w:basedOn w:val="Normal"/>
    <w:next w:val="Normal"/>
    <w:qFormat/>
    <w:rsid w:val="00EB549D"/>
    <w:pPr>
      <w:tabs>
        <w:tab w:val="num" w:pos="2160"/>
      </w:tabs>
      <w:spacing w:before="120" w:after="120"/>
      <w:ind w:left="504" w:hanging="50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549D"/>
    <w:pPr>
      <w:spacing w:after="120"/>
    </w:pPr>
  </w:style>
  <w:style w:type="paragraph" w:customStyle="1" w:styleId="Heading">
    <w:name w:val="Heading"/>
    <w:basedOn w:val="Normal"/>
    <w:rsid w:val="00EB549D"/>
    <w:pPr>
      <w:spacing w:before="120" w:after="120"/>
      <w:jc w:val="center"/>
    </w:pPr>
    <w:rPr>
      <w:b/>
      <w:sz w:val="80"/>
    </w:rPr>
  </w:style>
  <w:style w:type="paragraph" w:customStyle="1" w:styleId="TableHeader">
    <w:name w:val="Table Header"/>
    <w:basedOn w:val="Normal"/>
    <w:rsid w:val="00EB549D"/>
    <w:pPr>
      <w:spacing w:before="60" w:after="60"/>
      <w:jc w:val="center"/>
    </w:pPr>
    <w:rPr>
      <w:b/>
    </w:rPr>
  </w:style>
  <w:style w:type="paragraph" w:styleId="Header">
    <w:name w:val="header"/>
    <w:basedOn w:val="Normal"/>
    <w:rsid w:val="00EB549D"/>
    <w:pPr>
      <w:spacing w:before="120" w:after="120"/>
      <w:jc w:val="center"/>
    </w:pPr>
    <w:rPr>
      <w:sz w:val="32"/>
    </w:rPr>
  </w:style>
  <w:style w:type="paragraph" w:customStyle="1" w:styleId="TableText">
    <w:name w:val="Table Text"/>
    <w:basedOn w:val="Normal"/>
    <w:rsid w:val="00EB549D"/>
    <w:pPr>
      <w:spacing w:before="60" w:after="60"/>
    </w:pPr>
  </w:style>
  <w:style w:type="paragraph" w:styleId="TOC1">
    <w:name w:val="toc 1"/>
    <w:basedOn w:val="Normal"/>
    <w:next w:val="Normal"/>
    <w:semiHidden/>
    <w:rsid w:val="00EB549D"/>
    <w:pPr>
      <w:tabs>
        <w:tab w:val="left" w:pos="432"/>
        <w:tab w:val="right" w:leader="dot" w:pos="9350"/>
      </w:tabs>
      <w:spacing w:before="60"/>
    </w:pPr>
    <w:rPr>
      <w:b/>
      <w:caps/>
      <w:noProof/>
    </w:rPr>
  </w:style>
  <w:style w:type="paragraph" w:styleId="TOC2">
    <w:name w:val="toc 2"/>
    <w:basedOn w:val="Normal"/>
    <w:next w:val="Normal"/>
    <w:semiHidden/>
    <w:rsid w:val="00EB549D"/>
  </w:style>
  <w:style w:type="paragraph" w:styleId="Footer">
    <w:name w:val="footer"/>
    <w:basedOn w:val="Normal"/>
    <w:rsid w:val="00EB549D"/>
  </w:style>
  <w:style w:type="paragraph" w:styleId="BodyTextIndent">
    <w:name w:val="Body Text Indent"/>
    <w:basedOn w:val="Normal"/>
    <w:rsid w:val="00EB549D"/>
    <w:pPr>
      <w:spacing w:before="120" w:after="120"/>
      <w:ind w:left="720"/>
    </w:pPr>
  </w:style>
  <w:style w:type="paragraph" w:styleId="Caption">
    <w:name w:val="caption"/>
    <w:basedOn w:val="Normal"/>
    <w:next w:val="Normal"/>
    <w:qFormat/>
    <w:rsid w:val="00EB549D"/>
    <w:pPr>
      <w:spacing w:before="120" w:after="120"/>
      <w:jc w:val="center"/>
    </w:pPr>
    <w:rPr>
      <w:b/>
    </w:rPr>
  </w:style>
  <w:style w:type="paragraph" w:styleId="TOC3">
    <w:name w:val="toc 3"/>
    <w:basedOn w:val="Normal"/>
    <w:next w:val="Normal"/>
    <w:semiHidden/>
    <w:rsid w:val="00EB549D"/>
  </w:style>
  <w:style w:type="paragraph" w:styleId="TOC4">
    <w:name w:val="toc 4"/>
    <w:basedOn w:val="Normal"/>
    <w:next w:val="Normal"/>
    <w:semiHidden/>
    <w:rsid w:val="00EB549D"/>
  </w:style>
  <w:style w:type="paragraph" w:styleId="TOC5">
    <w:name w:val="toc 5"/>
    <w:basedOn w:val="Normal"/>
    <w:next w:val="Normal"/>
    <w:semiHidden/>
    <w:rsid w:val="00EB549D"/>
    <w:pPr>
      <w:ind w:left="576"/>
    </w:pPr>
  </w:style>
  <w:style w:type="paragraph" w:styleId="TOC6">
    <w:name w:val="toc 6"/>
    <w:basedOn w:val="Normal"/>
    <w:next w:val="Normal"/>
    <w:semiHidden/>
    <w:rsid w:val="00EB549D"/>
    <w:pPr>
      <w:ind w:left="720"/>
    </w:pPr>
  </w:style>
  <w:style w:type="paragraph" w:styleId="TOC7">
    <w:name w:val="toc 7"/>
    <w:basedOn w:val="Normal"/>
    <w:next w:val="Normal"/>
    <w:semiHidden/>
    <w:rsid w:val="00EB549D"/>
    <w:pPr>
      <w:ind w:left="864"/>
    </w:pPr>
  </w:style>
  <w:style w:type="paragraph" w:styleId="TOC8">
    <w:name w:val="toc 8"/>
    <w:basedOn w:val="Normal"/>
    <w:next w:val="Normal"/>
    <w:semiHidden/>
    <w:rsid w:val="00EB549D"/>
    <w:pPr>
      <w:ind w:left="1008"/>
    </w:pPr>
  </w:style>
  <w:style w:type="paragraph" w:styleId="TOC9">
    <w:name w:val="toc 9"/>
    <w:basedOn w:val="Normal"/>
    <w:next w:val="Normal"/>
    <w:semiHidden/>
    <w:rsid w:val="00EB549D"/>
    <w:pPr>
      <w:ind w:left="1152"/>
    </w:pPr>
  </w:style>
  <w:style w:type="paragraph" w:styleId="DocumentMap">
    <w:name w:val="Document Map"/>
    <w:basedOn w:val="Normal"/>
    <w:semiHidden/>
    <w:rsid w:val="00EB549D"/>
    <w:pPr>
      <w:shd w:val="clear" w:color="auto" w:fill="000080"/>
    </w:pPr>
    <w:rPr>
      <w:rFonts w:ascii="Tahoma" w:hAnsi="Tahoma"/>
    </w:rPr>
  </w:style>
  <w:style w:type="paragraph" w:customStyle="1" w:styleId="Req">
    <w:name w:val="Req"/>
    <w:basedOn w:val="Normal"/>
    <w:rsid w:val="00EB549D"/>
    <w:pPr>
      <w:widowControl w:val="0"/>
    </w:pPr>
    <w:rPr>
      <w:sz w:val="24"/>
    </w:rPr>
  </w:style>
  <w:style w:type="character" w:styleId="PageNumber">
    <w:name w:val="page number"/>
    <w:basedOn w:val="DefaultParagraphFont"/>
    <w:rsid w:val="00EB549D"/>
    <w:rPr>
      <w:rFonts w:ascii="Times New Roman" w:hAnsi="Times New Roman"/>
      <w:sz w:val="20"/>
      <w:bdr w:val="none" w:sz="0" w:space="0" w:color="auto"/>
    </w:rPr>
  </w:style>
  <w:style w:type="paragraph" w:customStyle="1" w:styleId="TableTextCentered">
    <w:name w:val="Table Text Centered"/>
    <w:basedOn w:val="Normal"/>
    <w:rsid w:val="00EB549D"/>
    <w:pPr>
      <w:spacing w:before="60" w:after="60"/>
      <w:jc w:val="center"/>
    </w:pPr>
  </w:style>
  <w:style w:type="paragraph" w:styleId="FootnoteText">
    <w:name w:val="footnote text"/>
    <w:basedOn w:val="Normal"/>
    <w:semiHidden/>
    <w:rsid w:val="00EB549D"/>
    <w:pPr>
      <w:spacing w:before="60" w:after="60"/>
    </w:pPr>
    <w:rPr>
      <w:b/>
      <w:sz w:val="24"/>
    </w:rPr>
  </w:style>
  <w:style w:type="paragraph" w:styleId="List2">
    <w:name w:val="List 2"/>
    <w:basedOn w:val="Normal"/>
    <w:rsid w:val="00EB549D"/>
    <w:pPr>
      <w:numPr>
        <w:numId w:val="4"/>
      </w:numPr>
      <w:tabs>
        <w:tab w:val="clear" w:pos="360"/>
      </w:tabs>
      <w:spacing w:before="60" w:after="60"/>
      <w:ind w:left="1080"/>
    </w:pPr>
  </w:style>
  <w:style w:type="paragraph" w:customStyle="1" w:styleId="Bullet">
    <w:name w:val="Bullet"/>
    <w:basedOn w:val="Normal"/>
    <w:rsid w:val="00EB549D"/>
    <w:pPr>
      <w:numPr>
        <w:numId w:val="3"/>
      </w:numPr>
      <w:tabs>
        <w:tab w:val="clear" w:pos="360"/>
      </w:tabs>
    </w:pPr>
  </w:style>
  <w:style w:type="paragraph" w:customStyle="1" w:styleId="Paragraph3">
    <w:name w:val="Paragraph3"/>
    <w:basedOn w:val="Normal"/>
    <w:rsid w:val="00EB549D"/>
    <w:pPr>
      <w:widowControl w:val="0"/>
      <w:spacing w:before="80"/>
      <w:ind w:left="720"/>
      <w:jc w:val="both"/>
    </w:pPr>
  </w:style>
  <w:style w:type="paragraph" w:customStyle="1" w:styleId="NonReq">
    <w:name w:val="NonReq"/>
    <w:basedOn w:val="Req"/>
    <w:rsid w:val="00EB549D"/>
    <w:pPr>
      <w:tabs>
        <w:tab w:val="num" w:pos="360"/>
      </w:tabs>
      <w:ind w:left="420" w:hanging="360"/>
    </w:pPr>
  </w:style>
  <w:style w:type="paragraph" w:customStyle="1" w:styleId="AppHeading1">
    <w:name w:val="App Heading 1"/>
    <w:basedOn w:val="Normal"/>
    <w:next w:val="BodyText"/>
    <w:rsid w:val="00EB549D"/>
    <w:pPr>
      <w:keepNext/>
      <w:numPr>
        <w:numId w:val="6"/>
      </w:numPr>
      <w:tabs>
        <w:tab w:val="clear" w:pos="1800"/>
        <w:tab w:val="left" w:pos="2160"/>
      </w:tabs>
      <w:spacing w:before="120" w:after="120"/>
      <w:ind w:left="2160" w:hanging="2160"/>
    </w:pPr>
    <w:rPr>
      <w:b/>
      <w:caps/>
      <w:sz w:val="28"/>
    </w:rPr>
  </w:style>
  <w:style w:type="paragraph" w:customStyle="1" w:styleId="AttachmentTitlePage">
    <w:name w:val="Attachment Title Page"/>
    <w:basedOn w:val="Heading"/>
    <w:rsid w:val="00EB549D"/>
    <w:rPr>
      <w:sz w:val="72"/>
    </w:rPr>
  </w:style>
  <w:style w:type="paragraph" w:customStyle="1" w:styleId="SectionHeading">
    <w:name w:val="Section Heading"/>
    <w:basedOn w:val="Heading1"/>
    <w:rsid w:val="00EB549D"/>
    <w:pPr>
      <w:keepLines/>
      <w:numPr>
        <w:numId w:val="0"/>
      </w:numPr>
      <w:pBdr>
        <w:top w:val="single" w:sz="6" w:space="6" w:color="808080"/>
        <w:bottom w:val="single" w:sz="6" w:space="6" w:color="808080"/>
      </w:pBdr>
      <w:spacing w:before="0" w:after="240" w:line="240" w:lineRule="atLeast"/>
      <w:jc w:val="center"/>
    </w:pPr>
    <w:rPr>
      <w:rFonts w:ascii="Garamond" w:hAnsi="Garamond"/>
      <w:b/>
      <w:spacing w:val="20"/>
      <w:kern w:val="16"/>
      <w:sz w:val="18"/>
    </w:rPr>
  </w:style>
  <w:style w:type="paragraph" w:styleId="BodyText2">
    <w:name w:val="Body Text 2"/>
    <w:basedOn w:val="Normal"/>
    <w:rsid w:val="00EB549D"/>
    <w:rPr>
      <w:szCs w:val="24"/>
      <w:u w:val="single"/>
    </w:rPr>
  </w:style>
  <w:style w:type="table" w:styleId="TableGrid">
    <w:name w:val="Table Grid"/>
    <w:basedOn w:val="TableNormal"/>
    <w:rsid w:val="0051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A6F22"/>
    <w:rPr>
      <w:rFonts w:ascii="Tahoma" w:hAnsi="Tahoma" w:cs="Tahoma"/>
      <w:sz w:val="16"/>
      <w:szCs w:val="16"/>
    </w:rPr>
  </w:style>
  <w:style w:type="paragraph" w:styleId="NormalWeb">
    <w:name w:val="Normal (Web)"/>
    <w:basedOn w:val="Normal"/>
    <w:rsid w:val="007A7E3A"/>
    <w:pPr>
      <w:spacing w:before="100" w:beforeAutospacing="1" w:after="100" w:afterAutospacing="1"/>
    </w:pPr>
    <w:rPr>
      <w:rFonts w:ascii="Times New Roman" w:hAnsi="Times New Roman"/>
      <w:sz w:val="24"/>
      <w:szCs w:val="24"/>
    </w:rPr>
  </w:style>
  <w:style w:type="paragraph" w:styleId="BodyTextIndent3">
    <w:name w:val="Body Text Indent 3"/>
    <w:basedOn w:val="Normal"/>
    <w:rsid w:val="00EB549D"/>
    <w:pPr>
      <w:spacing w:after="120"/>
      <w:ind w:left="360"/>
    </w:pPr>
    <w:rPr>
      <w:sz w:val="16"/>
      <w:szCs w:val="16"/>
    </w:rPr>
  </w:style>
  <w:style w:type="paragraph" w:styleId="BodyText3">
    <w:name w:val="Body Text 3"/>
    <w:basedOn w:val="Normal"/>
    <w:rsid w:val="00EB549D"/>
    <w:pPr>
      <w:spacing w:after="120"/>
    </w:pPr>
    <w:rPr>
      <w:sz w:val="16"/>
      <w:szCs w:val="16"/>
    </w:rPr>
  </w:style>
  <w:style w:type="paragraph" w:customStyle="1" w:styleId="HeadingBase">
    <w:name w:val="Heading Base"/>
    <w:basedOn w:val="BodyText"/>
    <w:next w:val="BodyText"/>
    <w:rsid w:val="00EB549D"/>
    <w:pPr>
      <w:keepNext/>
      <w:keepLines/>
      <w:spacing w:after="0" w:line="240" w:lineRule="atLeast"/>
    </w:pPr>
    <w:rPr>
      <w:rFonts w:ascii="Garamond" w:hAnsi="Garamond"/>
      <w:kern w:val="20"/>
      <w:sz w:val="22"/>
    </w:rPr>
  </w:style>
  <w:style w:type="paragraph" w:customStyle="1" w:styleId="HeaderBase">
    <w:name w:val="Header Base"/>
    <w:basedOn w:val="BodyText"/>
    <w:rsid w:val="00EB549D"/>
    <w:pPr>
      <w:keepLines/>
      <w:tabs>
        <w:tab w:val="center" w:pos="4320"/>
        <w:tab w:val="right" w:pos="8640"/>
      </w:tabs>
      <w:spacing w:after="0" w:line="240" w:lineRule="atLeast"/>
      <w:jc w:val="center"/>
    </w:pPr>
    <w:rPr>
      <w:rFonts w:ascii="Garamond" w:hAnsi="Garamond"/>
      <w:caps/>
      <w:spacing w:val="15"/>
      <w:sz w:val="18"/>
    </w:rPr>
  </w:style>
  <w:style w:type="paragraph" w:styleId="Subtitle">
    <w:name w:val="Subtitle"/>
    <w:basedOn w:val="Title"/>
    <w:next w:val="BodyText"/>
    <w:qFormat/>
    <w:rsid w:val="00EB549D"/>
    <w:pPr>
      <w:spacing w:after="420"/>
    </w:pPr>
    <w:rPr>
      <w:spacing w:val="20"/>
      <w:sz w:val="22"/>
    </w:rPr>
  </w:style>
  <w:style w:type="paragraph" w:styleId="Title">
    <w:name w:val="Title"/>
    <w:basedOn w:val="HeadingBase"/>
    <w:next w:val="Subtitle"/>
    <w:qFormat/>
    <w:rsid w:val="00EB549D"/>
    <w:pPr>
      <w:spacing w:before="140" w:line="240" w:lineRule="auto"/>
      <w:jc w:val="center"/>
    </w:pPr>
    <w:rPr>
      <w:caps/>
      <w:spacing w:val="60"/>
      <w:sz w:val="44"/>
    </w:rPr>
  </w:style>
  <w:style w:type="character" w:styleId="Hyperlink">
    <w:name w:val="Hyperlink"/>
    <w:basedOn w:val="DefaultParagraphFont"/>
    <w:rsid w:val="00EB549D"/>
    <w:rPr>
      <w:color w:val="0000FF"/>
      <w:u w:val="single"/>
    </w:rPr>
  </w:style>
  <w:style w:type="character" w:styleId="FollowedHyperlink">
    <w:name w:val="FollowedHyperlink"/>
    <w:basedOn w:val="DefaultParagraphFont"/>
    <w:rsid w:val="00EB549D"/>
    <w:rPr>
      <w:color w:val="800080"/>
      <w:u w:val="single"/>
    </w:rPr>
  </w:style>
  <w:style w:type="paragraph" w:customStyle="1" w:styleId="TitlePage">
    <w:name w:val="Title Page"/>
    <w:rsid w:val="00EB549D"/>
    <w:rPr>
      <w:rFonts w:ascii="Verdana" w:hAnsi="Verdana" w:cs="Arial"/>
      <w:b/>
      <w:bCs/>
      <w:kern w:val="28"/>
      <w:sz w:val="32"/>
      <w:szCs w:val="32"/>
    </w:rPr>
  </w:style>
  <w:style w:type="paragraph" w:styleId="BodyTextIndent2">
    <w:name w:val="Body Text Indent 2"/>
    <w:basedOn w:val="Normal"/>
    <w:rsid w:val="00EB549D"/>
    <w:pPr>
      <w:spacing w:after="120" w:line="480" w:lineRule="auto"/>
      <w:ind w:left="360"/>
    </w:pPr>
  </w:style>
  <w:style w:type="character" w:customStyle="1" w:styleId="Heading1Char">
    <w:name w:val="Heading 1 Char"/>
    <w:basedOn w:val="DefaultParagraphFont"/>
    <w:link w:val="Heading1"/>
    <w:rsid w:val="00DE7856"/>
    <w:rPr>
      <w:rFonts w:ascii="Verdana" w:hAnsi="Verdana"/>
      <w:caps/>
      <w:sz w:val="28"/>
      <w:lang w:val="en-US" w:eastAsia="en-US" w:bidi="ar-SA"/>
    </w:rPr>
  </w:style>
  <w:style w:type="paragraph" w:styleId="Date">
    <w:name w:val="Date"/>
    <w:basedOn w:val="Normal"/>
    <w:next w:val="Normal"/>
    <w:rsid w:val="00DE7856"/>
  </w:style>
  <w:style w:type="character" w:styleId="FootnoteReference">
    <w:name w:val="footnote reference"/>
    <w:basedOn w:val="DefaultParagraphFont"/>
    <w:semiHidden/>
    <w:rsid w:val="001B1EEE"/>
    <w:rPr>
      <w:vertAlign w:val="superscript"/>
    </w:rPr>
  </w:style>
  <w:style w:type="character" w:customStyle="1" w:styleId="bodytext1">
    <w:name w:val="body_text1"/>
    <w:basedOn w:val="DefaultParagraphFont"/>
    <w:rsid w:val="001B1EEE"/>
    <w:rPr>
      <w:rFonts w:ascii="Verdana" w:hAnsi="Verdana" w:hint="default"/>
      <w:color w:val="000000"/>
      <w:sz w:val="20"/>
      <w:szCs w:val="20"/>
    </w:rPr>
  </w:style>
  <w:style w:type="paragraph" w:styleId="ListParagraph">
    <w:name w:val="List Paragraph"/>
    <w:basedOn w:val="Normal"/>
    <w:uiPriority w:val="34"/>
    <w:qFormat/>
    <w:rsid w:val="00461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1325</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JHSPH</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subject/>
  <dc:creator>Elizabeth Peterson</dc:creator>
  <cp:keywords/>
  <dc:description/>
  <cp:lastModifiedBy>Elizabeth Peterson</cp:lastModifiedBy>
  <cp:revision>2</cp:revision>
  <cp:lastPrinted>2010-06-16T20:48:00Z</cp:lastPrinted>
  <dcterms:created xsi:type="dcterms:W3CDTF">2010-06-16T20:43:00Z</dcterms:created>
  <dcterms:modified xsi:type="dcterms:W3CDTF">2010-07-21T18:34:00Z</dcterms:modified>
</cp:coreProperties>
</file>